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CE6CB" w14:textId="6F53F4DA" w:rsidR="00C03227" w:rsidRDefault="00C03227" w:rsidP="005B3E18">
      <w:pPr>
        <w:pStyle w:val="DocumentTitle"/>
        <w:spacing w:after="120"/>
        <w:rPr>
          <w:rFonts w:ascii="Times New Roman" w:hAnsi="Times New Roman"/>
          <w:color w:val="000000" w:themeColor="text1"/>
          <w:sz w:val="24"/>
          <w:szCs w:val="24"/>
          <w:lang w:val="en-GB"/>
        </w:rPr>
      </w:pPr>
      <w:bookmarkStart w:id="0" w:name="_GoBack"/>
      <w:bookmarkEnd w:id="0"/>
      <w:r>
        <w:rPr>
          <w:rFonts w:ascii="Times New Roman" w:hAnsi="Times New Roman"/>
          <w:color w:val="000000" w:themeColor="text1"/>
          <w:sz w:val="24"/>
          <w:szCs w:val="24"/>
          <w:lang w:val="en-GB"/>
        </w:rPr>
        <w:t>EN</w:t>
      </w:r>
    </w:p>
    <w:p w14:paraId="548B7780" w14:textId="77777777" w:rsidR="00C03227" w:rsidRDefault="00C03227" w:rsidP="005B3E18">
      <w:pPr>
        <w:pStyle w:val="DocumentTitle"/>
        <w:spacing w:after="120"/>
        <w:rPr>
          <w:rFonts w:ascii="Times New Roman" w:hAnsi="Times New Roman"/>
          <w:color w:val="000000" w:themeColor="text1"/>
          <w:sz w:val="24"/>
          <w:szCs w:val="24"/>
          <w:lang w:val="en-GB"/>
        </w:rPr>
      </w:pPr>
    </w:p>
    <w:p w14:paraId="59F0CC0E" w14:textId="00B901EC" w:rsidR="005B3E18" w:rsidRDefault="005B3E18" w:rsidP="005B3E18">
      <w:pPr>
        <w:pStyle w:val="DocumentTitle"/>
        <w:spacing w:after="120"/>
        <w:rPr>
          <w:rFonts w:ascii="Times New Roman" w:hAnsi="Times New Roman"/>
          <w:color w:val="000000" w:themeColor="text1"/>
          <w:sz w:val="24"/>
          <w:szCs w:val="24"/>
          <w:lang w:val="en-GB"/>
        </w:rPr>
      </w:pPr>
      <w:r w:rsidRPr="00A6166B">
        <w:rPr>
          <w:rFonts w:ascii="Times New Roman" w:hAnsi="Times New Roman"/>
          <w:color w:val="000000" w:themeColor="text1"/>
          <w:sz w:val="24"/>
          <w:szCs w:val="24"/>
          <w:lang w:val="en-GB"/>
        </w:rPr>
        <w:t>ANNEX</w:t>
      </w:r>
    </w:p>
    <w:p w14:paraId="05D12376" w14:textId="1CB0F671" w:rsidR="005B3E18" w:rsidRPr="00A6166B" w:rsidRDefault="007C1F4B" w:rsidP="005B3E18">
      <w:pPr>
        <w:pStyle w:val="DocumentTitle"/>
        <w:spacing w:after="12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to the </w:t>
      </w:r>
    </w:p>
    <w:p w14:paraId="434A0856" w14:textId="77777777" w:rsidR="005B3E18" w:rsidRPr="000579B4" w:rsidRDefault="005B3E18" w:rsidP="005B3E18">
      <w:pPr>
        <w:pStyle w:val="Typedudocument"/>
        <w:rPr>
          <w:noProof/>
        </w:rPr>
      </w:pPr>
      <w:r w:rsidRPr="00C10F3D">
        <w:t>COMMISSION IMPLEMENTING DECISION</w:t>
      </w:r>
    </w:p>
    <w:p w14:paraId="37F085CA" w14:textId="77777777" w:rsidR="005B3E18" w:rsidRPr="00C0777A" w:rsidRDefault="005B3E18" w:rsidP="005B3E18">
      <w:pPr>
        <w:pStyle w:val="Titreobjet"/>
        <w:rPr>
          <w:noProof/>
        </w:rPr>
      </w:pPr>
      <w:r w:rsidRPr="00C10F3D">
        <w:t xml:space="preserve">adopting the </w:t>
      </w:r>
      <w:r w:rsidRPr="00097EE5">
        <w:rPr>
          <w:noProof/>
        </w:rPr>
        <w:t>Instrument for Pre-</w:t>
      </w:r>
      <w:r>
        <w:rPr>
          <w:noProof/>
        </w:rPr>
        <w:t>a</w:t>
      </w:r>
      <w:r w:rsidRPr="00097EE5">
        <w:rPr>
          <w:noProof/>
        </w:rPr>
        <w:t xml:space="preserve">ccession Assistance </w:t>
      </w:r>
      <w:r>
        <w:rPr>
          <w:noProof/>
        </w:rPr>
        <w:t>(</w:t>
      </w:r>
      <w:r w:rsidRPr="00C10F3D">
        <w:t>IPA III</w:t>
      </w:r>
      <w:r>
        <w:t>)</w:t>
      </w:r>
      <w:r w:rsidRPr="00C10F3D">
        <w:t xml:space="preserve"> Programming Framework for the period 2021-2027</w:t>
      </w:r>
    </w:p>
    <w:p w14:paraId="07087555" w14:textId="77777777" w:rsidR="005739B7" w:rsidRDefault="005739B7" w:rsidP="005739B7">
      <w:pPr>
        <w:tabs>
          <w:tab w:val="right" w:pos="8280"/>
        </w:tabs>
        <w:ind w:right="-22"/>
        <w:rPr>
          <w:rFonts w:ascii="Arial" w:hAnsi="Arial" w:cs="Arial"/>
          <w:caps/>
          <w:sz w:val="20"/>
        </w:rPr>
      </w:pPr>
    </w:p>
    <w:p w14:paraId="6A89E91C" w14:textId="77777777" w:rsidR="005739B7" w:rsidRDefault="005739B7" w:rsidP="005739B7">
      <w:pPr>
        <w:tabs>
          <w:tab w:val="right" w:pos="8280"/>
        </w:tabs>
        <w:ind w:right="-22"/>
        <w:rPr>
          <w:rFonts w:ascii="Arial" w:hAnsi="Arial" w:cs="Arial"/>
          <w:caps/>
          <w:sz w:val="20"/>
        </w:rPr>
      </w:pPr>
    </w:p>
    <w:p w14:paraId="47C0CFF5" w14:textId="77777777" w:rsidR="005739B7" w:rsidRPr="00641BE4" w:rsidRDefault="005739B7" w:rsidP="005739B7"/>
    <w:p w14:paraId="4AF6BC5A" w14:textId="77777777" w:rsidR="005739B7" w:rsidRDefault="005739B7" w:rsidP="005739B7"/>
    <w:p w14:paraId="76A49412" w14:textId="77777777" w:rsidR="005739B7" w:rsidRDefault="005739B7" w:rsidP="005739B7">
      <w:pPr>
        <w:tabs>
          <w:tab w:val="right" w:pos="8280"/>
        </w:tabs>
        <w:ind w:right="-22"/>
        <w:rPr>
          <w:rFonts w:ascii="Arial" w:hAnsi="Arial" w:cs="Arial"/>
          <w:caps/>
          <w:sz w:val="20"/>
        </w:rPr>
      </w:pPr>
    </w:p>
    <w:p w14:paraId="22D16C67" w14:textId="77777777" w:rsidR="005739B7" w:rsidRDefault="005739B7" w:rsidP="005739B7">
      <w:pPr>
        <w:tabs>
          <w:tab w:val="right" w:pos="8280"/>
        </w:tabs>
        <w:ind w:right="-22"/>
        <w:rPr>
          <w:rFonts w:ascii="Arial" w:hAnsi="Arial" w:cs="Arial"/>
          <w:caps/>
          <w:sz w:val="20"/>
        </w:rPr>
      </w:pPr>
    </w:p>
    <w:p w14:paraId="57387A9E" w14:textId="77777777" w:rsidR="005739B7" w:rsidRPr="00894D86" w:rsidRDefault="005739B7" w:rsidP="005739B7">
      <w:pPr>
        <w:pStyle w:val="ListeParagraf"/>
        <w:numPr>
          <w:ilvl w:val="0"/>
          <w:numId w:val="20"/>
        </w:numPr>
        <w:tabs>
          <w:tab w:val="right" w:pos="8280"/>
        </w:tabs>
        <w:ind w:right="-22"/>
        <w:rPr>
          <w:rFonts w:ascii="Arial" w:hAnsi="Arial" w:cs="Arial"/>
          <w:caps/>
          <w:sz w:val="20"/>
        </w:rPr>
        <w:sectPr w:rsidR="005739B7" w:rsidRPr="00894D86" w:rsidSect="0088570F">
          <w:footerReference w:type="even" r:id="rId12"/>
          <w:footerReference w:type="default" r:id="rId13"/>
          <w:pgSz w:w="11906" w:h="16838"/>
          <w:pgMar w:top="1417" w:right="1417" w:bottom="1417" w:left="1417" w:header="708" w:footer="708" w:gutter="0"/>
          <w:pgNumType w:start="1"/>
          <w:cols w:space="708"/>
          <w:titlePg/>
          <w:docGrid w:linePitch="360"/>
        </w:sectPr>
      </w:pPr>
    </w:p>
    <w:p w14:paraId="7931F06B" w14:textId="2E0BF445" w:rsidR="005B3E18" w:rsidRPr="00243F63" w:rsidRDefault="005B3E18" w:rsidP="005739B7">
      <w:pPr>
        <w:spacing w:after="120"/>
        <w:jc w:val="center"/>
        <w:rPr>
          <w:rFonts w:ascii="Times New Roman" w:hAnsi="Times New Roman" w:cs="Times New Roman"/>
          <w:b/>
          <w:bCs/>
          <w:sz w:val="24"/>
          <w:szCs w:val="28"/>
          <w:u w:val="single"/>
        </w:rPr>
      </w:pPr>
      <w:r w:rsidRPr="00243F63">
        <w:rPr>
          <w:rFonts w:ascii="Times New Roman" w:hAnsi="Times New Roman" w:cs="Times New Roman"/>
          <w:b/>
          <w:bCs/>
          <w:sz w:val="24"/>
          <w:szCs w:val="28"/>
          <w:u w:val="single"/>
        </w:rPr>
        <w:lastRenderedPageBreak/>
        <w:t>IPA III PROGRAMMING FRAMEWORK</w:t>
      </w:r>
    </w:p>
    <w:p w14:paraId="2CC4D904" w14:textId="516DB7D3" w:rsidR="005739B7" w:rsidRPr="00243F63" w:rsidRDefault="005739B7" w:rsidP="005739B7">
      <w:pPr>
        <w:spacing w:after="120"/>
        <w:jc w:val="center"/>
        <w:rPr>
          <w:rFonts w:ascii="Times New Roman" w:hAnsi="Times New Roman" w:cs="Times New Roman"/>
          <w:b/>
          <w:bCs/>
          <w:sz w:val="28"/>
          <w:szCs w:val="28"/>
          <w:u w:val="single"/>
        </w:rPr>
      </w:pPr>
      <w:r w:rsidRPr="00243F63">
        <w:rPr>
          <w:rFonts w:ascii="Times New Roman" w:hAnsi="Times New Roman" w:cs="Times New Roman"/>
          <w:b/>
          <w:bCs/>
          <w:sz w:val="28"/>
          <w:szCs w:val="28"/>
          <w:u w:val="single"/>
        </w:rPr>
        <w:t>Table of contents</w:t>
      </w:r>
    </w:p>
    <w:p w14:paraId="16C62B39" w14:textId="77777777" w:rsidR="005739B7" w:rsidRPr="00243F63" w:rsidRDefault="005739B7" w:rsidP="005739B7">
      <w:pPr>
        <w:rPr>
          <w:rFonts w:ascii="Times New Roman" w:hAnsi="Times New Roman" w:cs="Times New Roman"/>
          <w:lang w:val="en-US"/>
        </w:rPr>
      </w:pPr>
    </w:p>
    <w:tbl>
      <w:tblPr>
        <w:tblStyle w:val="TableGrid1"/>
        <w:tblW w:w="0" w:type="auto"/>
        <w:tblInd w:w="-459" w:type="dxa"/>
        <w:tblLook w:val="04A0" w:firstRow="1" w:lastRow="0" w:firstColumn="1" w:lastColumn="0" w:noHBand="0" w:noVBand="1"/>
      </w:tblPr>
      <w:tblGrid>
        <w:gridCol w:w="8364"/>
        <w:gridCol w:w="1383"/>
      </w:tblGrid>
      <w:tr w:rsidR="005739B7" w:rsidRPr="00243F63" w14:paraId="4D412A65" w14:textId="77777777" w:rsidTr="00EC3288">
        <w:tc>
          <w:tcPr>
            <w:tcW w:w="8364" w:type="dxa"/>
            <w:tcBorders>
              <w:top w:val="single" w:sz="4" w:space="0" w:color="auto"/>
              <w:left w:val="single" w:sz="4" w:space="0" w:color="auto"/>
              <w:bottom w:val="single" w:sz="4" w:space="0" w:color="auto"/>
              <w:right w:val="single" w:sz="4" w:space="0" w:color="auto"/>
            </w:tcBorders>
          </w:tcPr>
          <w:p w14:paraId="4B74E919" w14:textId="77777777" w:rsidR="005739B7" w:rsidRPr="00243F63" w:rsidRDefault="005739B7" w:rsidP="00EC3288">
            <w:pPr>
              <w:spacing w:after="120"/>
              <w:rPr>
                <w:rFonts w:ascii="Times New Roman" w:hAnsi="Times New Roman" w:cs="Times New Roman"/>
                <w:b/>
                <w:sz w:val="28"/>
                <w:szCs w:val="28"/>
              </w:rPr>
            </w:pPr>
          </w:p>
          <w:p w14:paraId="5F1F312F"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Introduction</w:t>
            </w:r>
          </w:p>
          <w:p w14:paraId="4AAEAE64" w14:textId="77777777" w:rsidR="005739B7" w:rsidRPr="00243F63" w:rsidRDefault="005739B7" w:rsidP="00EC3288">
            <w:pPr>
              <w:spacing w:after="120"/>
              <w:rPr>
                <w:rFonts w:ascii="Times New Roman" w:hAnsi="Times New Roman" w:cs="Times New Roman"/>
                <w:b/>
                <w:sz w:val="28"/>
                <w:szCs w:val="28"/>
              </w:rPr>
            </w:pPr>
          </w:p>
        </w:tc>
        <w:tc>
          <w:tcPr>
            <w:tcW w:w="1383" w:type="dxa"/>
            <w:tcBorders>
              <w:top w:val="single" w:sz="4" w:space="0" w:color="auto"/>
              <w:left w:val="single" w:sz="4" w:space="0" w:color="auto"/>
              <w:bottom w:val="single" w:sz="4" w:space="0" w:color="auto"/>
              <w:right w:val="single" w:sz="4" w:space="0" w:color="auto"/>
            </w:tcBorders>
          </w:tcPr>
          <w:p w14:paraId="2A6515C2" w14:textId="77777777" w:rsidR="005739B7" w:rsidRPr="00243F63" w:rsidRDefault="005739B7" w:rsidP="00EC3288">
            <w:pPr>
              <w:spacing w:after="120"/>
              <w:rPr>
                <w:rFonts w:ascii="Times New Roman" w:hAnsi="Times New Roman" w:cs="Times New Roman"/>
                <w:b/>
                <w:sz w:val="28"/>
                <w:szCs w:val="28"/>
              </w:rPr>
            </w:pPr>
          </w:p>
          <w:p w14:paraId="03008EBE"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page 3</w:t>
            </w:r>
          </w:p>
          <w:p w14:paraId="4770CBA4" w14:textId="77777777" w:rsidR="005739B7" w:rsidRPr="00243F63" w:rsidRDefault="005739B7" w:rsidP="00EC3288">
            <w:pPr>
              <w:spacing w:after="120"/>
              <w:rPr>
                <w:rFonts w:ascii="Times New Roman" w:hAnsi="Times New Roman" w:cs="Times New Roman"/>
                <w:b/>
                <w:sz w:val="28"/>
                <w:szCs w:val="28"/>
              </w:rPr>
            </w:pPr>
          </w:p>
        </w:tc>
      </w:tr>
      <w:tr w:rsidR="005739B7" w:rsidRPr="00243F63" w14:paraId="5A5046F3" w14:textId="77777777" w:rsidTr="00EC3288">
        <w:tc>
          <w:tcPr>
            <w:tcW w:w="8364" w:type="dxa"/>
            <w:tcBorders>
              <w:top w:val="single" w:sz="4" w:space="0" w:color="auto"/>
              <w:left w:val="single" w:sz="4" w:space="0" w:color="auto"/>
              <w:bottom w:val="single" w:sz="4" w:space="0" w:color="auto"/>
              <w:right w:val="single" w:sz="4" w:space="0" w:color="auto"/>
            </w:tcBorders>
          </w:tcPr>
          <w:p w14:paraId="58045109" w14:textId="77777777" w:rsidR="005739B7" w:rsidRPr="00243F63" w:rsidRDefault="005739B7" w:rsidP="00EC3288">
            <w:pPr>
              <w:spacing w:after="120"/>
              <w:rPr>
                <w:rFonts w:ascii="Times New Roman" w:hAnsi="Times New Roman" w:cs="Times New Roman"/>
                <w:b/>
                <w:sz w:val="28"/>
                <w:szCs w:val="28"/>
              </w:rPr>
            </w:pPr>
          </w:p>
          <w:p w14:paraId="38A5B923"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Window 1: Rule of law, fundamental rights and democracy</w:t>
            </w:r>
          </w:p>
          <w:p w14:paraId="48BC38A6" w14:textId="77777777" w:rsidR="005739B7" w:rsidRPr="00243F63" w:rsidRDefault="005739B7" w:rsidP="00EC3288">
            <w:pPr>
              <w:spacing w:after="120"/>
              <w:rPr>
                <w:rFonts w:ascii="Times New Roman" w:hAnsi="Times New Roman" w:cs="Times New Roman"/>
                <w:b/>
                <w:sz w:val="28"/>
                <w:szCs w:val="28"/>
              </w:rPr>
            </w:pPr>
          </w:p>
        </w:tc>
        <w:tc>
          <w:tcPr>
            <w:tcW w:w="1383" w:type="dxa"/>
            <w:tcBorders>
              <w:top w:val="single" w:sz="4" w:space="0" w:color="auto"/>
              <w:left w:val="single" w:sz="4" w:space="0" w:color="auto"/>
              <w:bottom w:val="single" w:sz="4" w:space="0" w:color="auto"/>
              <w:right w:val="single" w:sz="4" w:space="0" w:color="auto"/>
            </w:tcBorders>
          </w:tcPr>
          <w:p w14:paraId="77D61656" w14:textId="77777777" w:rsidR="005739B7" w:rsidRPr="00243F63" w:rsidRDefault="005739B7" w:rsidP="00EC3288">
            <w:pPr>
              <w:spacing w:after="120"/>
              <w:rPr>
                <w:rFonts w:ascii="Times New Roman" w:hAnsi="Times New Roman" w:cs="Times New Roman"/>
                <w:b/>
                <w:sz w:val="28"/>
                <w:szCs w:val="28"/>
              </w:rPr>
            </w:pPr>
          </w:p>
          <w:p w14:paraId="6B23DFDE"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page 11</w:t>
            </w:r>
          </w:p>
        </w:tc>
      </w:tr>
      <w:tr w:rsidR="005739B7" w:rsidRPr="00243F63" w14:paraId="47BA6D96" w14:textId="77777777" w:rsidTr="00EC3288">
        <w:tc>
          <w:tcPr>
            <w:tcW w:w="8364" w:type="dxa"/>
            <w:tcBorders>
              <w:top w:val="single" w:sz="4" w:space="0" w:color="auto"/>
              <w:left w:val="single" w:sz="4" w:space="0" w:color="auto"/>
              <w:bottom w:val="single" w:sz="4" w:space="0" w:color="auto"/>
              <w:right w:val="single" w:sz="4" w:space="0" w:color="auto"/>
            </w:tcBorders>
          </w:tcPr>
          <w:p w14:paraId="54BEC97E" w14:textId="77777777" w:rsidR="005739B7" w:rsidRPr="00243F63" w:rsidRDefault="005739B7" w:rsidP="00EC3288">
            <w:pPr>
              <w:spacing w:after="120"/>
              <w:rPr>
                <w:rFonts w:ascii="Times New Roman" w:hAnsi="Times New Roman" w:cs="Times New Roman"/>
                <w:b/>
                <w:sz w:val="28"/>
                <w:szCs w:val="28"/>
              </w:rPr>
            </w:pPr>
          </w:p>
          <w:p w14:paraId="3644D239"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 xml:space="preserve">Windows 2: Good governance, EU </w:t>
            </w:r>
            <w:r w:rsidRPr="00243F63">
              <w:rPr>
                <w:rFonts w:ascii="Times New Roman" w:hAnsi="Times New Roman" w:cs="Times New Roman"/>
                <w:b/>
                <w:bCs/>
                <w:i/>
                <w:iCs/>
                <w:sz w:val="28"/>
                <w:szCs w:val="28"/>
              </w:rPr>
              <w:t>acquis</w:t>
            </w:r>
            <w:r w:rsidRPr="00243F63">
              <w:rPr>
                <w:rFonts w:ascii="Times New Roman" w:hAnsi="Times New Roman" w:cs="Times New Roman"/>
                <w:b/>
                <w:bCs/>
                <w:sz w:val="28"/>
                <w:szCs w:val="28"/>
              </w:rPr>
              <w:t xml:space="preserve"> alignment, good neighbourly relations and strategic communication</w:t>
            </w:r>
          </w:p>
        </w:tc>
        <w:tc>
          <w:tcPr>
            <w:tcW w:w="1383" w:type="dxa"/>
            <w:tcBorders>
              <w:top w:val="single" w:sz="4" w:space="0" w:color="auto"/>
              <w:left w:val="single" w:sz="4" w:space="0" w:color="auto"/>
              <w:bottom w:val="single" w:sz="4" w:space="0" w:color="auto"/>
              <w:right w:val="single" w:sz="4" w:space="0" w:color="auto"/>
            </w:tcBorders>
          </w:tcPr>
          <w:p w14:paraId="09419A52" w14:textId="77777777" w:rsidR="005739B7" w:rsidRPr="00243F63" w:rsidRDefault="005739B7" w:rsidP="00EC3288">
            <w:pPr>
              <w:spacing w:after="120"/>
              <w:rPr>
                <w:rFonts w:ascii="Times New Roman" w:hAnsi="Times New Roman" w:cs="Times New Roman"/>
                <w:b/>
                <w:sz w:val="28"/>
                <w:szCs w:val="28"/>
              </w:rPr>
            </w:pPr>
          </w:p>
          <w:p w14:paraId="34C9E573" w14:textId="531D8E16"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page 2</w:t>
            </w:r>
            <w:r w:rsidR="00E30006">
              <w:rPr>
                <w:rFonts w:ascii="Times New Roman" w:hAnsi="Times New Roman" w:cs="Times New Roman"/>
                <w:b/>
                <w:bCs/>
                <w:sz w:val="28"/>
                <w:szCs w:val="28"/>
              </w:rPr>
              <w:t>5</w:t>
            </w:r>
          </w:p>
          <w:p w14:paraId="40744651" w14:textId="77777777" w:rsidR="005739B7" w:rsidRPr="00243F63" w:rsidRDefault="005739B7" w:rsidP="00EC3288">
            <w:pPr>
              <w:spacing w:after="120"/>
              <w:rPr>
                <w:rFonts w:ascii="Times New Roman" w:hAnsi="Times New Roman" w:cs="Times New Roman"/>
                <w:b/>
                <w:sz w:val="28"/>
                <w:szCs w:val="28"/>
              </w:rPr>
            </w:pPr>
          </w:p>
        </w:tc>
      </w:tr>
      <w:tr w:rsidR="005739B7" w:rsidRPr="00243F63" w14:paraId="644C7090" w14:textId="77777777" w:rsidTr="00EC3288">
        <w:tc>
          <w:tcPr>
            <w:tcW w:w="8364" w:type="dxa"/>
            <w:tcBorders>
              <w:top w:val="single" w:sz="4" w:space="0" w:color="auto"/>
              <w:left w:val="single" w:sz="4" w:space="0" w:color="auto"/>
              <w:bottom w:val="single" w:sz="4" w:space="0" w:color="auto"/>
              <w:right w:val="single" w:sz="4" w:space="0" w:color="auto"/>
            </w:tcBorders>
          </w:tcPr>
          <w:p w14:paraId="560AFD5D" w14:textId="77777777" w:rsidR="005739B7" w:rsidRPr="00243F63" w:rsidRDefault="005739B7" w:rsidP="00EC3288">
            <w:pPr>
              <w:spacing w:after="120"/>
              <w:rPr>
                <w:rFonts w:ascii="Times New Roman" w:hAnsi="Times New Roman" w:cs="Times New Roman"/>
                <w:b/>
                <w:sz w:val="28"/>
                <w:szCs w:val="28"/>
              </w:rPr>
            </w:pPr>
          </w:p>
          <w:p w14:paraId="7EA6CBDF"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Window 3: Green agenda and sustainable connectivity</w:t>
            </w:r>
          </w:p>
          <w:p w14:paraId="5FE82A36" w14:textId="77777777" w:rsidR="005739B7" w:rsidRPr="00243F63" w:rsidRDefault="005739B7" w:rsidP="00EC3288">
            <w:pPr>
              <w:spacing w:after="120"/>
              <w:rPr>
                <w:rFonts w:ascii="Times New Roman" w:hAnsi="Times New Roman" w:cs="Times New Roman"/>
                <w:b/>
                <w:sz w:val="28"/>
                <w:szCs w:val="28"/>
              </w:rPr>
            </w:pPr>
          </w:p>
        </w:tc>
        <w:tc>
          <w:tcPr>
            <w:tcW w:w="1383" w:type="dxa"/>
            <w:tcBorders>
              <w:top w:val="single" w:sz="4" w:space="0" w:color="auto"/>
              <w:left w:val="single" w:sz="4" w:space="0" w:color="auto"/>
              <w:bottom w:val="single" w:sz="4" w:space="0" w:color="auto"/>
              <w:right w:val="single" w:sz="4" w:space="0" w:color="auto"/>
            </w:tcBorders>
          </w:tcPr>
          <w:p w14:paraId="68A851BA" w14:textId="77777777" w:rsidR="005739B7" w:rsidRPr="00243F63" w:rsidRDefault="005739B7" w:rsidP="00EC3288">
            <w:pPr>
              <w:spacing w:after="120"/>
              <w:rPr>
                <w:rFonts w:ascii="Times New Roman" w:hAnsi="Times New Roman" w:cs="Times New Roman"/>
                <w:b/>
                <w:sz w:val="28"/>
                <w:szCs w:val="28"/>
              </w:rPr>
            </w:pPr>
          </w:p>
          <w:p w14:paraId="1C542CEE" w14:textId="0A089481" w:rsidR="005739B7" w:rsidRPr="00243F63" w:rsidRDefault="005739B7" w:rsidP="00E30006">
            <w:pPr>
              <w:spacing w:after="120"/>
              <w:rPr>
                <w:rFonts w:ascii="Times New Roman" w:hAnsi="Times New Roman" w:cs="Times New Roman"/>
                <w:b/>
                <w:bCs/>
                <w:sz w:val="28"/>
                <w:szCs w:val="28"/>
              </w:rPr>
            </w:pPr>
            <w:r w:rsidRPr="00243F63">
              <w:rPr>
                <w:rFonts w:ascii="Times New Roman" w:hAnsi="Times New Roman" w:cs="Times New Roman"/>
                <w:b/>
                <w:bCs/>
                <w:sz w:val="28"/>
                <w:szCs w:val="28"/>
              </w:rPr>
              <w:t>page 3</w:t>
            </w:r>
            <w:r w:rsidR="00E30006">
              <w:rPr>
                <w:rFonts w:ascii="Times New Roman" w:hAnsi="Times New Roman" w:cs="Times New Roman"/>
                <w:b/>
                <w:bCs/>
                <w:sz w:val="28"/>
                <w:szCs w:val="28"/>
              </w:rPr>
              <w:t>6</w:t>
            </w:r>
          </w:p>
        </w:tc>
      </w:tr>
      <w:tr w:rsidR="005739B7" w:rsidRPr="00243F63" w14:paraId="2C857F55" w14:textId="77777777" w:rsidTr="00EC3288">
        <w:tc>
          <w:tcPr>
            <w:tcW w:w="8364" w:type="dxa"/>
            <w:tcBorders>
              <w:top w:val="single" w:sz="4" w:space="0" w:color="auto"/>
              <w:left w:val="single" w:sz="4" w:space="0" w:color="auto"/>
              <w:bottom w:val="single" w:sz="4" w:space="0" w:color="auto"/>
              <w:right w:val="single" w:sz="4" w:space="0" w:color="auto"/>
            </w:tcBorders>
          </w:tcPr>
          <w:p w14:paraId="638736CD" w14:textId="77777777" w:rsidR="005739B7" w:rsidRPr="00243F63" w:rsidRDefault="005739B7" w:rsidP="00EC3288">
            <w:pPr>
              <w:spacing w:after="120"/>
              <w:rPr>
                <w:rFonts w:ascii="Times New Roman" w:hAnsi="Times New Roman" w:cs="Times New Roman"/>
                <w:b/>
                <w:sz w:val="28"/>
                <w:szCs w:val="28"/>
              </w:rPr>
            </w:pPr>
          </w:p>
          <w:p w14:paraId="554E454A"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Window 4: Competitiveness and inclusive growth</w:t>
            </w:r>
          </w:p>
          <w:p w14:paraId="36C51A86" w14:textId="77777777" w:rsidR="005739B7" w:rsidRPr="00243F63" w:rsidRDefault="005739B7" w:rsidP="00EC3288">
            <w:pPr>
              <w:spacing w:after="120"/>
              <w:rPr>
                <w:rFonts w:ascii="Times New Roman" w:hAnsi="Times New Roman" w:cs="Times New Roman"/>
                <w:b/>
                <w:sz w:val="28"/>
                <w:szCs w:val="28"/>
              </w:rPr>
            </w:pPr>
          </w:p>
        </w:tc>
        <w:tc>
          <w:tcPr>
            <w:tcW w:w="1383" w:type="dxa"/>
            <w:tcBorders>
              <w:top w:val="single" w:sz="4" w:space="0" w:color="auto"/>
              <w:left w:val="single" w:sz="4" w:space="0" w:color="auto"/>
              <w:bottom w:val="single" w:sz="4" w:space="0" w:color="auto"/>
              <w:right w:val="single" w:sz="4" w:space="0" w:color="auto"/>
            </w:tcBorders>
          </w:tcPr>
          <w:p w14:paraId="42975D12" w14:textId="77777777" w:rsidR="005739B7" w:rsidRPr="00243F63" w:rsidRDefault="005739B7" w:rsidP="00EC3288">
            <w:pPr>
              <w:spacing w:after="120"/>
              <w:rPr>
                <w:rFonts w:ascii="Times New Roman" w:hAnsi="Times New Roman" w:cs="Times New Roman"/>
                <w:b/>
                <w:sz w:val="28"/>
                <w:szCs w:val="28"/>
              </w:rPr>
            </w:pPr>
          </w:p>
          <w:p w14:paraId="43DA65F0" w14:textId="6E05DD22" w:rsidR="005739B7" w:rsidRPr="00243F63" w:rsidRDefault="005739B7" w:rsidP="00E30006">
            <w:pPr>
              <w:spacing w:after="120"/>
              <w:rPr>
                <w:rFonts w:ascii="Times New Roman" w:hAnsi="Times New Roman" w:cs="Times New Roman"/>
                <w:b/>
                <w:bCs/>
                <w:sz w:val="28"/>
                <w:szCs w:val="28"/>
              </w:rPr>
            </w:pPr>
            <w:r w:rsidRPr="00243F63">
              <w:rPr>
                <w:rFonts w:ascii="Times New Roman" w:hAnsi="Times New Roman" w:cs="Times New Roman"/>
                <w:b/>
                <w:bCs/>
                <w:sz w:val="28"/>
                <w:szCs w:val="28"/>
              </w:rPr>
              <w:t>page 4</w:t>
            </w:r>
            <w:r w:rsidR="00E30006">
              <w:rPr>
                <w:rFonts w:ascii="Times New Roman" w:hAnsi="Times New Roman" w:cs="Times New Roman"/>
                <w:b/>
                <w:bCs/>
                <w:sz w:val="28"/>
                <w:szCs w:val="28"/>
              </w:rPr>
              <w:t>6</w:t>
            </w:r>
          </w:p>
        </w:tc>
      </w:tr>
      <w:tr w:rsidR="005739B7" w:rsidRPr="00243F63" w14:paraId="513A655E" w14:textId="77777777" w:rsidTr="00EC3288">
        <w:tc>
          <w:tcPr>
            <w:tcW w:w="8364" w:type="dxa"/>
            <w:tcBorders>
              <w:top w:val="single" w:sz="4" w:space="0" w:color="auto"/>
              <w:left w:val="single" w:sz="4" w:space="0" w:color="auto"/>
              <w:bottom w:val="single" w:sz="4" w:space="0" w:color="auto"/>
              <w:right w:val="single" w:sz="4" w:space="0" w:color="auto"/>
            </w:tcBorders>
          </w:tcPr>
          <w:p w14:paraId="18729CE0" w14:textId="77777777" w:rsidR="005739B7" w:rsidRPr="00243F63" w:rsidRDefault="005739B7" w:rsidP="00EC3288">
            <w:pPr>
              <w:spacing w:after="120"/>
              <w:rPr>
                <w:rFonts w:ascii="Times New Roman" w:hAnsi="Times New Roman" w:cs="Times New Roman"/>
                <w:b/>
                <w:sz w:val="28"/>
                <w:szCs w:val="28"/>
              </w:rPr>
            </w:pPr>
          </w:p>
          <w:p w14:paraId="7FF8EB4D" w14:textId="77777777"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Window 5: Territorial and cross-border cooperation</w:t>
            </w:r>
          </w:p>
        </w:tc>
        <w:tc>
          <w:tcPr>
            <w:tcW w:w="1383" w:type="dxa"/>
            <w:tcBorders>
              <w:top w:val="single" w:sz="4" w:space="0" w:color="auto"/>
              <w:left w:val="single" w:sz="4" w:space="0" w:color="auto"/>
              <w:bottom w:val="single" w:sz="4" w:space="0" w:color="auto"/>
              <w:right w:val="single" w:sz="4" w:space="0" w:color="auto"/>
            </w:tcBorders>
          </w:tcPr>
          <w:p w14:paraId="0B67F671" w14:textId="77777777" w:rsidR="005739B7" w:rsidRPr="00243F63" w:rsidRDefault="005739B7" w:rsidP="00EC3288">
            <w:pPr>
              <w:spacing w:after="120"/>
              <w:rPr>
                <w:rFonts w:ascii="Times New Roman" w:hAnsi="Times New Roman" w:cs="Times New Roman"/>
                <w:b/>
                <w:sz w:val="28"/>
                <w:szCs w:val="28"/>
              </w:rPr>
            </w:pPr>
          </w:p>
          <w:p w14:paraId="2E65FE21" w14:textId="3CD3FB1E" w:rsidR="005739B7" w:rsidRPr="00243F63" w:rsidRDefault="005739B7" w:rsidP="00EC3288">
            <w:pPr>
              <w:spacing w:after="120"/>
              <w:rPr>
                <w:rFonts w:ascii="Times New Roman" w:hAnsi="Times New Roman" w:cs="Times New Roman"/>
                <w:b/>
                <w:bCs/>
                <w:sz w:val="28"/>
                <w:szCs w:val="28"/>
              </w:rPr>
            </w:pPr>
            <w:r w:rsidRPr="00243F63">
              <w:rPr>
                <w:rFonts w:ascii="Times New Roman" w:hAnsi="Times New Roman" w:cs="Times New Roman"/>
                <w:b/>
                <w:bCs/>
                <w:sz w:val="28"/>
                <w:szCs w:val="28"/>
              </w:rPr>
              <w:t>page 5</w:t>
            </w:r>
            <w:r w:rsidR="00E30006">
              <w:rPr>
                <w:rFonts w:ascii="Times New Roman" w:hAnsi="Times New Roman" w:cs="Times New Roman"/>
                <w:b/>
                <w:bCs/>
                <w:sz w:val="28"/>
                <w:szCs w:val="28"/>
              </w:rPr>
              <w:t>7</w:t>
            </w:r>
          </w:p>
          <w:p w14:paraId="19D310DB" w14:textId="77777777" w:rsidR="005739B7" w:rsidRPr="00243F63" w:rsidRDefault="005739B7" w:rsidP="00EC3288">
            <w:pPr>
              <w:spacing w:after="120"/>
              <w:rPr>
                <w:rFonts w:ascii="Times New Roman" w:hAnsi="Times New Roman" w:cs="Times New Roman"/>
                <w:b/>
                <w:sz w:val="28"/>
                <w:szCs w:val="28"/>
              </w:rPr>
            </w:pPr>
          </w:p>
        </w:tc>
      </w:tr>
      <w:tr w:rsidR="005739B7" w:rsidRPr="00243F63" w14:paraId="502738FA" w14:textId="77777777" w:rsidTr="00EC3288">
        <w:trPr>
          <w:trHeight w:val="1225"/>
        </w:trPr>
        <w:tc>
          <w:tcPr>
            <w:tcW w:w="8364" w:type="dxa"/>
            <w:vAlign w:val="center"/>
          </w:tcPr>
          <w:p w14:paraId="484FAFC0" w14:textId="77777777" w:rsidR="005739B7" w:rsidRPr="00243F63" w:rsidRDefault="005739B7" w:rsidP="00EC3288">
            <w:pPr>
              <w:spacing w:after="120"/>
              <w:rPr>
                <w:rFonts w:ascii="Times New Roman" w:hAnsi="Times New Roman" w:cs="Times New Roman"/>
                <w:b/>
                <w:sz w:val="28"/>
                <w:szCs w:val="28"/>
              </w:rPr>
            </w:pPr>
            <w:r w:rsidRPr="00243F63">
              <w:rPr>
                <w:rFonts w:ascii="Times New Roman" w:hAnsi="Times New Roman" w:cs="Times New Roman"/>
                <w:b/>
                <w:sz w:val="28"/>
                <w:szCs w:val="28"/>
              </w:rPr>
              <w:t>IPA III Indicative Allocations</w:t>
            </w:r>
          </w:p>
        </w:tc>
        <w:tc>
          <w:tcPr>
            <w:tcW w:w="1383" w:type="dxa"/>
            <w:vAlign w:val="center"/>
          </w:tcPr>
          <w:p w14:paraId="3416221B" w14:textId="2CDCE564" w:rsidR="005739B7" w:rsidRPr="00243F63" w:rsidRDefault="005739B7" w:rsidP="00E30006">
            <w:pPr>
              <w:spacing w:after="120"/>
              <w:rPr>
                <w:rFonts w:ascii="Times New Roman" w:hAnsi="Times New Roman" w:cs="Times New Roman"/>
                <w:b/>
                <w:sz w:val="28"/>
                <w:szCs w:val="28"/>
              </w:rPr>
            </w:pPr>
            <w:r w:rsidRPr="00243F63">
              <w:rPr>
                <w:rFonts w:ascii="Times New Roman" w:hAnsi="Times New Roman" w:cs="Times New Roman"/>
                <w:b/>
                <w:sz w:val="28"/>
                <w:szCs w:val="28"/>
              </w:rPr>
              <w:t>page 6</w:t>
            </w:r>
            <w:r w:rsidR="00E30006">
              <w:rPr>
                <w:rFonts w:ascii="Times New Roman" w:hAnsi="Times New Roman" w:cs="Times New Roman"/>
                <w:b/>
                <w:sz w:val="28"/>
                <w:szCs w:val="28"/>
              </w:rPr>
              <w:t>7</w:t>
            </w:r>
          </w:p>
        </w:tc>
      </w:tr>
    </w:tbl>
    <w:p w14:paraId="0BC1C07D" w14:textId="77777777" w:rsidR="005739B7" w:rsidRPr="00243F63" w:rsidRDefault="005739B7" w:rsidP="005739B7">
      <w:pPr>
        <w:spacing w:after="120"/>
        <w:jc w:val="center"/>
        <w:rPr>
          <w:rFonts w:ascii="Times New Roman" w:hAnsi="Times New Roman" w:cs="Times New Roman"/>
          <w:b/>
          <w:sz w:val="28"/>
          <w:szCs w:val="28"/>
          <w:u w:val="single"/>
        </w:rPr>
      </w:pPr>
    </w:p>
    <w:p w14:paraId="230243F1" w14:textId="77777777" w:rsidR="005739B7" w:rsidRPr="00243F63" w:rsidRDefault="005739B7" w:rsidP="005739B7">
      <w:pPr>
        <w:spacing w:after="120"/>
        <w:rPr>
          <w:rFonts w:ascii="Times New Roman" w:hAnsi="Times New Roman" w:cs="Times New Roman"/>
          <w:b/>
          <w:sz w:val="28"/>
          <w:szCs w:val="28"/>
          <w:u w:val="single"/>
        </w:rPr>
      </w:pPr>
      <w:r w:rsidRPr="00243F63">
        <w:rPr>
          <w:rFonts w:ascii="Times New Roman" w:hAnsi="Times New Roman" w:cs="Times New Roman"/>
          <w:b/>
          <w:sz w:val="28"/>
          <w:szCs w:val="28"/>
          <w:u w:val="single"/>
        </w:rPr>
        <w:br w:type="page"/>
      </w:r>
    </w:p>
    <w:p w14:paraId="28F547CC" w14:textId="77777777" w:rsidR="005739B7" w:rsidRPr="00B35F21" w:rsidRDefault="005739B7" w:rsidP="005739B7">
      <w:pPr>
        <w:pStyle w:val="Balk1"/>
        <w:pBdr>
          <w:top w:val="single" w:sz="4" w:space="1" w:color="auto"/>
          <w:left w:val="single" w:sz="4" w:space="1" w:color="auto"/>
          <w:bottom w:val="single" w:sz="4" w:space="1" w:color="auto"/>
          <w:right w:val="single" w:sz="4" w:space="1" w:color="auto"/>
        </w:pBdr>
        <w:spacing w:before="0"/>
        <w:jc w:val="center"/>
        <w:rPr>
          <w:rFonts w:ascii="Times New Roman" w:hAnsi="Times New Roman" w:cs="Times New Roman"/>
          <w:b/>
          <w:bCs/>
          <w:color w:val="000000" w:themeColor="text1"/>
          <w:sz w:val="22"/>
          <w:szCs w:val="22"/>
        </w:rPr>
      </w:pPr>
      <w:bookmarkStart w:id="1" w:name="_Toc46402478"/>
      <w:bookmarkStart w:id="2" w:name="_Toc46402553"/>
      <w:bookmarkStart w:id="3" w:name="_Toc46480667"/>
      <w:bookmarkStart w:id="4" w:name="_Toc55992234"/>
      <w:r>
        <w:rPr>
          <w:rFonts w:ascii="Times New Roman" w:hAnsi="Times New Roman" w:cs="Times New Roman"/>
          <w:b/>
          <w:bCs/>
          <w:color w:val="000000" w:themeColor="text1"/>
        </w:rPr>
        <w:lastRenderedPageBreak/>
        <w:br/>
      </w:r>
      <w:bookmarkStart w:id="5" w:name="_Toc56584491"/>
      <w:r w:rsidRPr="36BE81E9">
        <w:rPr>
          <w:rFonts w:ascii="Times New Roman" w:hAnsi="Times New Roman" w:cs="Times New Roman"/>
          <w:b/>
          <w:bCs/>
          <w:color w:val="000000" w:themeColor="text1"/>
        </w:rPr>
        <w:t>INTRODUCTION</w:t>
      </w:r>
      <w:bookmarkEnd w:id="1"/>
      <w:bookmarkEnd w:id="2"/>
      <w:bookmarkEnd w:id="3"/>
      <w:bookmarkEnd w:id="4"/>
      <w:bookmarkEnd w:id="5"/>
      <w:r>
        <w:rPr>
          <w:rFonts w:ascii="Times New Roman" w:hAnsi="Times New Roman" w:cs="Times New Roman"/>
          <w:b/>
          <w:bCs/>
          <w:color w:val="000000" w:themeColor="text1"/>
        </w:rPr>
        <w:br/>
      </w:r>
    </w:p>
    <w:p w14:paraId="55692B20" w14:textId="77777777" w:rsidR="00E30006" w:rsidRDefault="00E30006" w:rsidP="005739B7">
      <w:pPr>
        <w:spacing w:after="120" w:line="240" w:lineRule="auto"/>
        <w:jc w:val="both"/>
        <w:rPr>
          <w:rFonts w:ascii="Times New Roman" w:hAnsi="Times New Roman" w:cs="Times New Roman"/>
          <w:sz w:val="24"/>
          <w:szCs w:val="24"/>
        </w:rPr>
      </w:pPr>
    </w:p>
    <w:p w14:paraId="5A5981DE" w14:textId="41899014" w:rsidR="005739B7" w:rsidRDefault="005739B7" w:rsidP="005739B7">
      <w:pPr>
        <w:spacing w:after="120" w:line="240" w:lineRule="auto"/>
        <w:jc w:val="both"/>
        <w:rPr>
          <w:rFonts w:ascii="Times New Roman" w:hAnsi="Times New Roman" w:cs="Times New Roman"/>
          <w:sz w:val="24"/>
          <w:szCs w:val="24"/>
        </w:rPr>
      </w:pPr>
      <w:r w:rsidRPr="00B65C9D">
        <w:rPr>
          <w:rFonts w:ascii="Times New Roman" w:hAnsi="Times New Roman" w:cs="Times New Roman"/>
          <w:sz w:val="24"/>
          <w:szCs w:val="24"/>
        </w:rPr>
        <w:t>The Multiannual Financial Framework for 2021-2027’</w:t>
      </w:r>
      <w:r>
        <w:rPr>
          <w:rStyle w:val="DipnotBavurusu"/>
          <w:rFonts w:ascii="Times New Roman" w:hAnsi="Times New Roman" w:cs="Times New Roman"/>
          <w:sz w:val="24"/>
          <w:szCs w:val="24"/>
        </w:rPr>
        <w:footnoteReference w:id="2"/>
      </w:r>
      <w:r w:rsidRPr="00B65C9D">
        <w:rPr>
          <w:rFonts w:ascii="Times New Roman" w:hAnsi="Times New Roman" w:cs="Times New Roman"/>
          <w:sz w:val="24"/>
          <w:szCs w:val="24"/>
        </w:rPr>
        <w:t xml:space="preserve"> set</w:t>
      </w:r>
      <w:r w:rsidR="00243F63">
        <w:rPr>
          <w:rFonts w:ascii="Times New Roman" w:hAnsi="Times New Roman" w:cs="Times New Roman"/>
          <w:sz w:val="24"/>
          <w:szCs w:val="24"/>
        </w:rPr>
        <w:t>s</w:t>
      </w:r>
      <w:r w:rsidRPr="00B65C9D">
        <w:rPr>
          <w:rFonts w:ascii="Times New Roman" w:hAnsi="Times New Roman" w:cs="Times New Roman"/>
          <w:sz w:val="24"/>
          <w:szCs w:val="24"/>
        </w:rPr>
        <w:t xml:space="preserve"> the main priorities and overall budgetary framework for EU external action programmes under the heading ‘Neighbourhood and the World’. </w:t>
      </w:r>
      <w:r w:rsidRPr="004F0474">
        <w:rPr>
          <w:rFonts w:ascii="Times New Roman" w:hAnsi="Times New Roman" w:cs="Times New Roman"/>
          <w:sz w:val="24"/>
          <w:szCs w:val="24"/>
        </w:rPr>
        <w:t xml:space="preserve">This </w:t>
      </w:r>
      <w:r w:rsidRPr="00B65C9D">
        <w:rPr>
          <w:rFonts w:ascii="Times New Roman" w:hAnsi="Times New Roman" w:cs="Times New Roman"/>
          <w:sz w:val="24"/>
          <w:szCs w:val="24"/>
        </w:rPr>
        <w:t xml:space="preserve">includes </w:t>
      </w:r>
      <w:r>
        <w:rPr>
          <w:rFonts w:ascii="Times New Roman" w:hAnsi="Times New Roman" w:cs="Times New Roman"/>
          <w:sz w:val="24"/>
          <w:szCs w:val="24"/>
        </w:rPr>
        <w:t xml:space="preserve">a strengthened </w:t>
      </w:r>
      <w:r w:rsidRPr="00B65C9D">
        <w:rPr>
          <w:rFonts w:ascii="Times New Roman" w:hAnsi="Times New Roman" w:cs="Times New Roman"/>
          <w:sz w:val="24"/>
          <w:szCs w:val="24"/>
        </w:rPr>
        <w:t xml:space="preserve">Instrument for Pre-Accession Assistance (IPA III) </w:t>
      </w:r>
      <w:r>
        <w:rPr>
          <w:rFonts w:ascii="Times New Roman" w:hAnsi="Times New Roman" w:cs="Times New Roman"/>
          <w:sz w:val="24"/>
          <w:szCs w:val="24"/>
        </w:rPr>
        <w:t xml:space="preserve">to support the </w:t>
      </w:r>
      <w:r w:rsidRPr="00B65C9D">
        <w:rPr>
          <w:rFonts w:ascii="Times New Roman" w:hAnsi="Times New Roman" w:cs="Times New Roman"/>
          <w:sz w:val="24"/>
          <w:szCs w:val="24"/>
        </w:rPr>
        <w:t xml:space="preserve">beneficiaries identified in Annex </w:t>
      </w:r>
      <w:r w:rsidR="00243F63">
        <w:rPr>
          <w:rFonts w:ascii="Times New Roman" w:hAnsi="Times New Roman" w:cs="Times New Roman"/>
          <w:sz w:val="24"/>
          <w:szCs w:val="24"/>
        </w:rPr>
        <w:t>I</w:t>
      </w:r>
      <w:r w:rsidRPr="00B65C9D">
        <w:rPr>
          <w:rFonts w:ascii="Times New Roman" w:hAnsi="Times New Roman" w:cs="Times New Roman"/>
          <w:sz w:val="24"/>
          <w:szCs w:val="24"/>
        </w:rPr>
        <w:t xml:space="preserve"> of the IPA III Regulation: Republic of Albania, Bosnia and Herzegovina, Kosovo</w:t>
      </w:r>
      <w:r w:rsidRPr="00B65C9D">
        <w:rPr>
          <w:rStyle w:val="DipnotBavurusu"/>
          <w:sz w:val="24"/>
          <w:szCs w:val="24"/>
        </w:rPr>
        <w:footnoteReference w:customMarkFollows="1" w:id="3"/>
        <w:t>*</w:t>
      </w:r>
      <w:r w:rsidRPr="00B65C9D">
        <w:rPr>
          <w:rFonts w:ascii="Times New Roman" w:hAnsi="Times New Roman" w:cs="Times New Roman"/>
          <w:sz w:val="24"/>
          <w:szCs w:val="24"/>
        </w:rPr>
        <w:t>, Montenegro, Republic of North Macedonia, Republic of Serbia and Republic of Turkey</w:t>
      </w:r>
      <w:r>
        <w:rPr>
          <w:rFonts w:ascii="Times New Roman" w:hAnsi="Times New Roman" w:cs="Times New Roman"/>
          <w:sz w:val="24"/>
          <w:szCs w:val="24"/>
        </w:rPr>
        <w:t xml:space="preserve"> during </w:t>
      </w:r>
      <w:r w:rsidRPr="00B65C9D">
        <w:rPr>
          <w:rFonts w:ascii="Times New Roman" w:hAnsi="Times New Roman" w:cs="Times New Roman"/>
          <w:sz w:val="24"/>
          <w:szCs w:val="24"/>
        </w:rPr>
        <w:t>the programming period 2021-2027</w:t>
      </w:r>
      <w:r w:rsidR="001152E5">
        <w:rPr>
          <w:rFonts w:ascii="Times New Roman" w:hAnsi="Times New Roman" w:cs="Times New Roman"/>
          <w:sz w:val="24"/>
          <w:szCs w:val="24"/>
        </w:rPr>
        <w:t>.</w:t>
      </w:r>
      <w:r w:rsidRPr="00B65C9D">
        <w:rPr>
          <w:rFonts w:ascii="Times New Roman" w:hAnsi="Times New Roman" w:cs="Times New Roman"/>
          <w:sz w:val="24"/>
          <w:szCs w:val="24"/>
        </w:rPr>
        <w:t xml:space="preserve"> </w:t>
      </w:r>
    </w:p>
    <w:p w14:paraId="27A857D0" w14:textId="4E0E2F23" w:rsidR="001152E5" w:rsidRDefault="001152E5"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IPA III Programming Framework, as described in Article 7 of the IPA III Regulation, is</w:t>
      </w:r>
      <w:r w:rsidRPr="36BE81E9">
        <w:rPr>
          <w:rFonts w:ascii="Times New Roman" w:hAnsi="Times New Roman" w:cs="Times New Roman"/>
          <w:sz w:val="24"/>
          <w:szCs w:val="24"/>
        </w:rPr>
        <w:t xml:space="preserve"> the overarching European Commission's strategic document for the use of EU funds assisting the IPA III beneficiaries</w:t>
      </w:r>
      <w:r w:rsidR="00243F63">
        <w:rPr>
          <w:rFonts w:ascii="Times New Roman" w:hAnsi="Times New Roman" w:cs="Times New Roman"/>
          <w:sz w:val="24"/>
          <w:szCs w:val="24"/>
        </w:rPr>
        <w:t xml:space="preserve"> </w:t>
      </w:r>
      <w:r w:rsidR="00243F63" w:rsidRPr="00243F63">
        <w:rPr>
          <w:rFonts w:ascii="Times New Roman" w:hAnsi="Times New Roman" w:cs="Times New Roman"/>
          <w:sz w:val="24"/>
          <w:szCs w:val="24"/>
        </w:rPr>
        <w:t>for the duration of the 2021-2027 MFF</w:t>
      </w:r>
      <w:r>
        <w:rPr>
          <w:rFonts w:ascii="Times New Roman" w:hAnsi="Times New Roman" w:cs="Times New Roman"/>
          <w:sz w:val="24"/>
          <w:szCs w:val="24"/>
        </w:rPr>
        <w:t xml:space="preserve">. </w:t>
      </w:r>
    </w:p>
    <w:p w14:paraId="6CC2EFC9" w14:textId="01EB9C6E" w:rsidR="00E914C1" w:rsidRDefault="00E914C1" w:rsidP="005739B7">
      <w:pPr>
        <w:spacing w:after="120" w:line="240" w:lineRule="auto"/>
        <w:jc w:val="both"/>
        <w:rPr>
          <w:rFonts w:ascii="Times New Roman" w:hAnsi="Times New Roman" w:cs="Times New Roman"/>
          <w:sz w:val="24"/>
          <w:szCs w:val="24"/>
        </w:rPr>
      </w:pPr>
      <w:r w:rsidRPr="00DF2FB1">
        <w:rPr>
          <w:rFonts w:ascii="Times New Roman" w:hAnsi="Times New Roman" w:cs="Times New Roman"/>
          <w:sz w:val="24"/>
          <w:szCs w:val="24"/>
        </w:rPr>
        <w:t>It has been prepared taking into account the high-level geopolitical dialogue with the European Parliament and is consistent with the additional delegated act</w:t>
      </w:r>
      <w:r w:rsidR="00243F63">
        <w:rPr>
          <w:rFonts w:ascii="Times New Roman" w:hAnsi="Times New Roman" w:cs="Times New Roman"/>
          <w:sz w:val="24"/>
          <w:szCs w:val="24"/>
        </w:rPr>
        <w:t xml:space="preserve">, supplementing the Regulation, </w:t>
      </w:r>
      <w:r w:rsidRPr="00DF2FB1">
        <w:rPr>
          <w:rFonts w:ascii="Times New Roman" w:hAnsi="Times New Roman" w:cs="Times New Roman"/>
          <w:sz w:val="24"/>
          <w:szCs w:val="24"/>
        </w:rPr>
        <w:t xml:space="preserve">covering </w:t>
      </w:r>
      <w:r w:rsidR="009201CD" w:rsidRPr="00DF2FB1">
        <w:rPr>
          <w:rFonts w:ascii="Times New Roman" w:hAnsi="Times New Roman" w:cs="Times New Roman"/>
          <w:sz w:val="24"/>
          <w:szCs w:val="24"/>
        </w:rPr>
        <w:t>selected</w:t>
      </w:r>
      <w:r w:rsidRPr="00DF2FB1">
        <w:rPr>
          <w:rFonts w:ascii="Times New Roman" w:hAnsi="Times New Roman" w:cs="Times New Roman"/>
          <w:sz w:val="24"/>
          <w:szCs w:val="24"/>
        </w:rPr>
        <w:t xml:space="preserve"> objectives and priority areas of thematic cooperation</w:t>
      </w:r>
      <w:r w:rsidR="009201CD" w:rsidRPr="00DF2FB1">
        <w:rPr>
          <w:rFonts w:ascii="Times New Roman" w:hAnsi="Times New Roman" w:cs="Times New Roman"/>
          <w:sz w:val="24"/>
          <w:szCs w:val="24"/>
        </w:rPr>
        <w:t>.</w:t>
      </w:r>
    </w:p>
    <w:p w14:paraId="36D7F7E4" w14:textId="2E82A1B5" w:rsidR="005739B7" w:rsidRDefault="001152E5"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It builds on</w:t>
      </w:r>
      <w:r w:rsidR="005739B7">
        <w:rPr>
          <w:rFonts w:ascii="Times New Roman" w:hAnsi="Times New Roman" w:cs="Times New Roman"/>
          <w:sz w:val="24"/>
          <w:szCs w:val="24"/>
        </w:rPr>
        <w:t xml:space="preserve"> the Communication from the Commission ‘Enhancing the accession process – A credible EU perspective for the Western Balkans’</w:t>
      </w:r>
      <w:r w:rsidR="005739B7">
        <w:rPr>
          <w:rStyle w:val="DipnotBavurusu"/>
          <w:rFonts w:ascii="Times New Roman" w:hAnsi="Times New Roman" w:cs="Times New Roman"/>
          <w:sz w:val="24"/>
          <w:szCs w:val="24"/>
        </w:rPr>
        <w:footnoteReference w:id="4"/>
      </w:r>
      <w:r w:rsidR="005739B7">
        <w:rPr>
          <w:rFonts w:ascii="Times New Roman" w:hAnsi="Times New Roman" w:cs="Times New Roman"/>
          <w:sz w:val="24"/>
          <w:szCs w:val="24"/>
        </w:rPr>
        <w:t xml:space="preserve">, </w:t>
      </w:r>
      <w:r w:rsidR="00E914C1">
        <w:rPr>
          <w:rFonts w:ascii="Times New Roman" w:hAnsi="Times New Roman" w:cs="Times New Roman"/>
          <w:sz w:val="24"/>
          <w:szCs w:val="24"/>
        </w:rPr>
        <w:t>which highlights</w:t>
      </w:r>
      <w:r>
        <w:rPr>
          <w:rFonts w:ascii="Times New Roman" w:hAnsi="Times New Roman" w:cs="Times New Roman"/>
          <w:sz w:val="24"/>
          <w:szCs w:val="24"/>
        </w:rPr>
        <w:t xml:space="preserve"> the</w:t>
      </w:r>
      <w:r w:rsidR="005739B7">
        <w:rPr>
          <w:rFonts w:ascii="Times New Roman" w:hAnsi="Times New Roman" w:cs="Times New Roman"/>
          <w:sz w:val="24"/>
          <w:szCs w:val="24"/>
        </w:rPr>
        <w:t xml:space="preserve"> </w:t>
      </w:r>
      <w:r w:rsidR="005739B7" w:rsidRPr="00BA0A6D">
        <w:rPr>
          <w:rFonts w:ascii="Times New Roman" w:hAnsi="Times New Roman" w:cs="Times New Roman"/>
          <w:sz w:val="24"/>
          <w:szCs w:val="24"/>
        </w:rPr>
        <w:t xml:space="preserve">core objective of the European Union’s engagement with the Western Balkans </w:t>
      </w:r>
      <w:r w:rsidR="00E914C1">
        <w:rPr>
          <w:rFonts w:ascii="Times New Roman" w:hAnsi="Times New Roman" w:cs="Times New Roman"/>
          <w:sz w:val="24"/>
          <w:szCs w:val="24"/>
        </w:rPr>
        <w:t>-</w:t>
      </w:r>
      <w:r w:rsidR="00E914C1" w:rsidRPr="00BA0A6D">
        <w:rPr>
          <w:rFonts w:ascii="Times New Roman" w:hAnsi="Times New Roman" w:cs="Times New Roman"/>
          <w:sz w:val="24"/>
          <w:szCs w:val="24"/>
        </w:rPr>
        <w:t xml:space="preserve"> </w:t>
      </w:r>
      <w:r w:rsidR="005739B7" w:rsidRPr="00BA0A6D">
        <w:rPr>
          <w:rFonts w:ascii="Times New Roman" w:hAnsi="Times New Roman" w:cs="Times New Roman"/>
          <w:sz w:val="24"/>
          <w:szCs w:val="24"/>
        </w:rPr>
        <w:t>to prepare the</w:t>
      </w:r>
      <w:r w:rsidR="00E914C1">
        <w:rPr>
          <w:rFonts w:ascii="Times New Roman" w:hAnsi="Times New Roman" w:cs="Times New Roman"/>
          <w:sz w:val="24"/>
          <w:szCs w:val="24"/>
        </w:rPr>
        <w:t>se partners</w:t>
      </w:r>
      <w:r w:rsidR="005739B7" w:rsidRPr="00BA0A6D">
        <w:rPr>
          <w:rFonts w:ascii="Times New Roman" w:hAnsi="Times New Roman" w:cs="Times New Roman"/>
          <w:sz w:val="24"/>
          <w:szCs w:val="24"/>
        </w:rPr>
        <w:t xml:space="preserve"> to meet all the requirements of membership. This includes supporting fundamental democratic, rule of law and economic reforms and alignment with core European values</w:t>
      </w:r>
      <w:r w:rsidR="00E914C1">
        <w:rPr>
          <w:rFonts w:ascii="Times New Roman" w:hAnsi="Times New Roman" w:cs="Times New Roman"/>
          <w:sz w:val="24"/>
          <w:szCs w:val="24"/>
        </w:rPr>
        <w:t xml:space="preserve">, which </w:t>
      </w:r>
      <w:r w:rsidR="005739B7" w:rsidRPr="00BA0A6D">
        <w:rPr>
          <w:rFonts w:ascii="Times New Roman" w:hAnsi="Times New Roman" w:cs="Times New Roman"/>
          <w:sz w:val="24"/>
          <w:szCs w:val="24"/>
        </w:rPr>
        <w:t>in turn foster solid</w:t>
      </w:r>
      <w:r w:rsidR="005739B7">
        <w:rPr>
          <w:rFonts w:ascii="Times New Roman" w:hAnsi="Times New Roman" w:cs="Times New Roman"/>
          <w:sz w:val="24"/>
          <w:szCs w:val="24"/>
        </w:rPr>
        <w:t>, sustainable</w:t>
      </w:r>
      <w:r w:rsidR="005739B7" w:rsidRPr="00BA0A6D">
        <w:rPr>
          <w:rFonts w:ascii="Times New Roman" w:hAnsi="Times New Roman" w:cs="Times New Roman"/>
          <w:sz w:val="24"/>
          <w:szCs w:val="24"/>
        </w:rPr>
        <w:t xml:space="preserve"> and accelerated economic growth and social convergence.</w:t>
      </w:r>
      <w:r w:rsidR="005739B7">
        <w:rPr>
          <w:rFonts w:ascii="Times New Roman" w:hAnsi="Times New Roman" w:cs="Times New Roman"/>
          <w:sz w:val="24"/>
          <w:szCs w:val="24"/>
        </w:rPr>
        <w:t xml:space="preserve"> </w:t>
      </w:r>
    </w:p>
    <w:p w14:paraId="164DC24B" w14:textId="6C9AC7A0" w:rsidR="005739B7" w:rsidRDefault="00E914C1"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w:t>
      </w:r>
      <w:r w:rsidR="005739B7">
        <w:rPr>
          <w:rFonts w:ascii="Times New Roman" w:hAnsi="Times New Roman" w:cs="Times New Roman"/>
          <w:sz w:val="24"/>
          <w:szCs w:val="24"/>
        </w:rPr>
        <w:t>revised enlargement methodology, endorsed by the Council in March 2020</w:t>
      </w:r>
      <w:r w:rsidR="00844600">
        <w:rPr>
          <w:rStyle w:val="DipnotBavurusu"/>
          <w:rFonts w:ascii="Times New Roman" w:hAnsi="Times New Roman" w:cs="Times New Roman"/>
          <w:sz w:val="24"/>
          <w:szCs w:val="24"/>
        </w:rPr>
        <w:footnoteReference w:id="5"/>
      </w:r>
      <w:r w:rsidR="005739B7">
        <w:rPr>
          <w:rFonts w:ascii="Times New Roman" w:hAnsi="Times New Roman" w:cs="Times New Roman"/>
          <w:sz w:val="24"/>
          <w:szCs w:val="24"/>
        </w:rPr>
        <w:t xml:space="preserve">, </w:t>
      </w:r>
      <w:r>
        <w:rPr>
          <w:rFonts w:ascii="Times New Roman" w:hAnsi="Times New Roman" w:cs="Times New Roman"/>
          <w:sz w:val="24"/>
          <w:szCs w:val="24"/>
        </w:rPr>
        <w:t>emphasises</w:t>
      </w:r>
      <w:r w:rsidR="005739B7">
        <w:rPr>
          <w:rFonts w:ascii="Times New Roman" w:hAnsi="Times New Roman" w:cs="Times New Roman"/>
          <w:sz w:val="24"/>
          <w:szCs w:val="24"/>
        </w:rPr>
        <w:t xml:space="preserve"> the four key principles </w:t>
      </w:r>
      <w:r>
        <w:rPr>
          <w:rFonts w:ascii="Times New Roman" w:hAnsi="Times New Roman" w:cs="Times New Roman"/>
          <w:sz w:val="24"/>
          <w:szCs w:val="24"/>
        </w:rPr>
        <w:t xml:space="preserve">for </w:t>
      </w:r>
      <w:r w:rsidR="005739B7">
        <w:rPr>
          <w:rFonts w:ascii="Times New Roman" w:hAnsi="Times New Roman" w:cs="Times New Roman"/>
          <w:sz w:val="24"/>
          <w:szCs w:val="24"/>
        </w:rPr>
        <w:t>making the enlargement process more credible</w:t>
      </w:r>
      <w:r w:rsidR="00B134AF">
        <w:rPr>
          <w:rFonts w:ascii="Times New Roman" w:hAnsi="Times New Roman" w:cs="Times New Roman"/>
          <w:sz w:val="24"/>
          <w:szCs w:val="24"/>
        </w:rPr>
        <w:t>,</w:t>
      </w:r>
      <w:r w:rsidR="00BF3641">
        <w:rPr>
          <w:rFonts w:ascii="Times New Roman" w:hAnsi="Times New Roman" w:cs="Times New Roman"/>
          <w:sz w:val="24"/>
          <w:szCs w:val="24"/>
        </w:rPr>
        <w:t xml:space="preserve"> </w:t>
      </w:r>
      <w:r w:rsidR="00BF3641" w:rsidRPr="00E80FAE">
        <w:rPr>
          <w:rFonts w:ascii="Times New Roman" w:hAnsi="Times New Roman" w:cs="Times New Roman"/>
          <w:sz w:val="24"/>
          <w:szCs w:val="24"/>
        </w:rPr>
        <w:t>based on objective criteria</w:t>
      </w:r>
      <w:r>
        <w:rPr>
          <w:rFonts w:ascii="Times New Roman" w:hAnsi="Times New Roman" w:cs="Times New Roman"/>
          <w:sz w:val="24"/>
          <w:szCs w:val="24"/>
        </w:rPr>
        <w:t>,</w:t>
      </w:r>
      <w:r w:rsidR="00BF3641" w:rsidRPr="00E80FAE">
        <w:rPr>
          <w:rFonts w:ascii="Times New Roman" w:hAnsi="Times New Roman" w:cs="Times New Roman"/>
          <w:sz w:val="24"/>
          <w:szCs w:val="24"/>
        </w:rPr>
        <w:t xml:space="preserve"> </w:t>
      </w:r>
      <w:r>
        <w:rPr>
          <w:rFonts w:ascii="Times New Roman" w:hAnsi="Times New Roman" w:cs="Times New Roman"/>
          <w:sz w:val="24"/>
          <w:szCs w:val="24"/>
        </w:rPr>
        <w:t>on</w:t>
      </w:r>
      <w:r w:rsidRPr="00E80FAE">
        <w:rPr>
          <w:rFonts w:ascii="Times New Roman" w:hAnsi="Times New Roman" w:cs="Times New Roman"/>
          <w:sz w:val="24"/>
          <w:szCs w:val="24"/>
        </w:rPr>
        <w:t xml:space="preserve"> </w:t>
      </w:r>
      <w:r w:rsidR="00BF3641" w:rsidRPr="00E80FAE">
        <w:rPr>
          <w:rFonts w:ascii="Times New Roman" w:hAnsi="Times New Roman" w:cs="Times New Roman"/>
          <w:sz w:val="24"/>
          <w:szCs w:val="24"/>
        </w:rPr>
        <w:t>rigorous positive and negative conditionality</w:t>
      </w:r>
      <w:r w:rsidR="00BF3641">
        <w:rPr>
          <w:rFonts w:ascii="Times New Roman" w:hAnsi="Times New Roman" w:cs="Times New Roman"/>
          <w:sz w:val="24"/>
          <w:szCs w:val="24"/>
        </w:rPr>
        <w:t xml:space="preserve">, </w:t>
      </w:r>
      <w:r>
        <w:rPr>
          <w:rFonts w:ascii="Times New Roman" w:hAnsi="Times New Roman" w:cs="Times New Roman"/>
          <w:sz w:val="24"/>
          <w:szCs w:val="24"/>
        </w:rPr>
        <w:t xml:space="preserve">on </w:t>
      </w:r>
      <w:r w:rsidR="00BF3641">
        <w:rPr>
          <w:rFonts w:ascii="Times New Roman" w:hAnsi="Times New Roman" w:cs="Times New Roman"/>
          <w:sz w:val="24"/>
          <w:szCs w:val="24"/>
        </w:rPr>
        <w:t>reversibility</w:t>
      </w:r>
      <w:r w:rsidR="005739B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5739B7">
        <w:rPr>
          <w:rFonts w:ascii="Times New Roman" w:hAnsi="Times New Roman" w:cs="Times New Roman"/>
          <w:sz w:val="24"/>
          <w:szCs w:val="24"/>
        </w:rPr>
        <w:t>subject to stronger</w:t>
      </w:r>
      <w:r>
        <w:rPr>
          <w:rFonts w:ascii="Times New Roman" w:hAnsi="Times New Roman" w:cs="Times New Roman"/>
          <w:sz w:val="24"/>
          <w:szCs w:val="24"/>
        </w:rPr>
        <w:t>, more dynamic and predictable</w:t>
      </w:r>
      <w:r w:rsidR="005739B7">
        <w:rPr>
          <w:rFonts w:ascii="Times New Roman" w:hAnsi="Times New Roman" w:cs="Times New Roman"/>
          <w:sz w:val="24"/>
          <w:szCs w:val="24"/>
        </w:rPr>
        <w:t xml:space="preserve"> political steer. The changes introduced in the programming process for IPA III are part and parcel of this revised enlargement methodology, which aim to increase the performance-based approach of the instrument and increase its efficiency in terms of delivery.</w:t>
      </w:r>
    </w:p>
    <w:p w14:paraId="2A96C34F" w14:textId="607532D4" w:rsidR="005739B7" w:rsidRDefault="00D870E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IPA III Programming Framework </w:t>
      </w:r>
      <w:r w:rsidR="009201CD">
        <w:rPr>
          <w:rFonts w:ascii="Times New Roman" w:hAnsi="Times New Roman" w:cs="Times New Roman"/>
          <w:sz w:val="24"/>
          <w:szCs w:val="24"/>
        </w:rPr>
        <w:t>will</w:t>
      </w:r>
      <w:r w:rsidR="005739B7">
        <w:rPr>
          <w:rFonts w:ascii="Times New Roman" w:hAnsi="Times New Roman" w:cs="Times New Roman"/>
          <w:sz w:val="24"/>
          <w:szCs w:val="24"/>
        </w:rPr>
        <w:t xml:space="preserve"> </w:t>
      </w:r>
      <w:r w:rsidR="009201CD">
        <w:rPr>
          <w:rFonts w:ascii="Times New Roman" w:hAnsi="Times New Roman" w:cs="Times New Roman"/>
          <w:sz w:val="24"/>
          <w:szCs w:val="24"/>
        </w:rPr>
        <w:t xml:space="preserve">also </w:t>
      </w:r>
      <w:r w:rsidR="005739B7">
        <w:rPr>
          <w:rFonts w:ascii="Times New Roman" w:hAnsi="Times New Roman" w:cs="Times New Roman"/>
          <w:sz w:val="24"/>
          <w:szCs w:val="24"/>
        </w:rPr>
        <w:t>support the implementation of the Economic and Investment Plan for the Western Balkans</w:t>
      </w:r>
      <w:r w:rsidR="005739B7">
        <w:rPr>
          <w:rStyle w:val="DipnotBavurusu"/>
          <w:rFonts w:ascii="Times New Roman" w:hAnsi="Times New Roman" w:cs="Times New Roman"/>
          <w:sz w:val="24"/>
          <w:szCs w:val="24"/>
        </w:rPr>
        <w:footnoteReference w:id="6"/>
      </w:r>
      <w:r w:rsidR="005739B7">
        <w:rPr>
          <w:rFonts w:ascii="Times New Roman" w:hAnsi="Times New Roman" w:cs="Times New Roman"/>
          <w:sz w:val="24"/>
          <w:szCs w:val="24"/>
        </w:rPr>
        <w:t>. The</w:t>
      </w:r>
      <w:r w:rsidR="005739B7" w:rsidRPr="00B861C4">
        <w:rPr>
          <w:rFonts w:ascii="Times New Roman" w:hAnsi="Times New Roman" w:cs="Times New Roman"/>
          <w:sz w:val="24"/>
          <w:szCs w:val="24"/>
        </w:rPr>
        <w:t xml:space="preserve"> Economic and Investment Plan aims to spur the long-term recovery</w:t>
      </w:r>
      <w:r w:rsidR="005739B7">
        <w:rPr>
          <w:rFonts w:ascii="Times New Roman" w:hAnsi="Times New Roman" w:cs="Times New Roman"/>
          <w:sz w:val="24"/>
          <w:szCs w:val="24"/>
        </w:rPr>
        <w:t xml:space="preserve"> of the region</w:t>
      </w:r>
      <w:r w:rsidR="005739B7" w:rsidRPr="00B861C4">
        <w:rPr>
          <w:rFonts w:ascii="Times New Roman" w:hAnsi="Times New Roman" w:cs="Times New Roman"/>
          <w:sz w:val="24"/>
          <w:szCs w:val="24"/>
        </w:rPr>
        <w:t>,</w:t>
      </w:r>
      <w:r w:rsidR="005739B7">
        <w:rPr>
          <w:rFonts w:ascii="Times New Roman" w:hAnsi="Times New Roman" w:cs="Times New Roman"/>
          <w:sz w:val="24"/>
          <w:szCs w:val="24"/>
        </w:rPr>
        <w:t xml:space="preserve"> </w:t>
      </w:r>
      <w:r w:rsidR="005739B7" w:rsidRPr="00BF2579">
        <w:rPr>
          <w:rFonts w:ascii="Times New Roman" w:hAnsi="Times New Roman" w:cs="Times New Roman"/>
          <w:sz w:val="24"/>
          <w:szCs w:val="24"/>
        </w:rPr>
        <w:t>support a green and digital transition</w:t>
      </w:r>
      <w:r w:rsidR="005739B7" w:rsidRPr="00B861C4">
        <w:rPr>
          <w:rFonts w:ascii="Times New Roman" w:hAnsi="Times New Roman" w:cs="Times New Roman"/>
          <w:sz w:val="24"/>
          <w:szCs w:val="24"/>
        </w:rPr>
        <w:t>, boost economic growth and support reforms required to move forward on the EU path, including bringing the Western Balkans closer to the EU Single Market</w:t>
      </w:r>
      <w:r w:rsidR="005739B7">
        <w:rPr>
          <w:rFonts w:ascii="Times New Roman" w:hAnsi="Times New Roman" w:cs="Times New Roman"/>
          <w:sz w:val="24"/>
          <w:szCs w:val="24"/>
        </w:rPr>
        <w:t xml:space="preserve"> and the latest EU policy developments, such as the European Green Deal</w:t>
      </w:r>
      <w:r w:rsidR="005739B7" w:rsidRPr="00B861C4">
        <w:rPr>
          <w:rFonts w:ascii="Times New Roman" w:hAnsi="Times New Roman" w:cs="Times New Roman"/>
          <w:sz w:val="24"/>
          <w:szCs w:val="24"/>
        </w:rPr>
        <w:t xml:space="preserve">. It aims </w:t>
      </w:r>
      <w:r w:rsidR="009201CD">
        <w:rPr>
          <w:rFonts w:ascii="Times New Roman" w:hAnsi="Times New Roman" w:cs="Times New Roman"/>
          <w:sz w:val="24"/>
          <w:szCs w:val="24"/>
        </w:rPr>
        <w:t>at</w:t>
      </w:r>
      <w:r w:rsidR="009201CD" w:rsidRPr="00B861C4">
        <w:rPr>
          <w:rFonts w:ascii="Times New Roman" w:hAnsi="Times New Roman" w:cs="Times New Roman"/>
          <w:sz w:val="24"/>
          <w:szCs w:val="24"/>
        </w:rPr>
        <w:t xml:space="preserve"> </w:t>
      </w:r>
      <w:r w:rsidR="005739B7" w:rsidRPr="00B861C4">
        <w:rPr>
          <w:rFonts w:ascii="Times New Roman" w:hAnsi="Times New Roman" w:cs="Times New Roman"/>
          <w:sz w:val="24"/>
          <w:szCs w:val="24"/>
        </w:rPr>
        <w:t>unleash</w:t>
      </w:r>
      <w:r w:rsidR="009201CD">
        <w:rPr>
          <w:rFonts w:ascii="Times New Roman" w:hAnsi="Times New Roman" w:cs="Times New Roman"/>
          <w:sz w:val="24"/>
          <w:szCs w:val="24"/>
        </w:rPr>
        <w:t>ing</w:t>
      </w:r>
      <w:r w:rsidR="005739B7" w:rsidRPr="00B861C4">
        <w:rPr>
          <w:rFonts w:ascii="Times New Roman" w:hAnsi="Times New Roman" w:cs="Times New Roman"/>
          <w:sz w:val="24"/>
          <w:szCs w:val="24"/>
        </w:rPr>
        <w:t xml:space="preserve"> the untapped economic potential of the region</w:t>
      </w:r>
      <w:r w:rsidR="009201CD">
        <w:rPr>
          <w:rFonts w:ascii="Times New Roman" w:hAnsi="Times New Roman" w:cs="Times New Roman"/>
          <w:sz w:val="24"/>
          <w:szCs w:val="24"/>
        </w:rPr>
        <w:t xml:space="preserve"> and</w:t>
      </w:r>
      <w:r w:rsidR="005739B7">
        <w:rPr>
          <w:rFonts w:ascii="Times New Roman" w:hAnsi="Times New Roman" w:cs="Times New Roman"/>
          <w:sz w:val="24"/>
          <w:szCs w:val="24"/>
        </w:rPr>
        <w:t xml:space="preserve"> </w:t>
      </w:r>
      <w:r w:rsidR="005739B7" w:rsidRPr="00B861C4">
        <w:rPr>
          <w:rFonts w:ascii="Times New Roman" w:hAnsi="Times New Roman" w:cs="Times New Roman"/>
          <w:sz w:val="24"/>
          <w:szCs w:val="24"/>
        </w:rPr>
        <w:t>the significant scope for increased intra-regional economic cooperation and trade</w:t>
      </w:r>
      <w:r w:rsidR="009201CD">
        <w:rPr>
          <w:rFonts w:ascii="Times New Roman" w:hAnsi="Times New Roman" w:cs="Times New Roman"/>
          <w:sz w:val="24"/>
          <w:szCs w:val="24"/>
        </w:rPr>
        <w:t>,</w:t>
      </w:r>
      <w:r w:rsidR="005739B7">
        <w:rPr>
          <w:rFonts w:ascii="Times New Roman" w:hAnsi="Times New Roman" w:cs="Times New Roman"/>
          <w:sz w:val="24"/>
          <w:szCs w:val="24"/>
        </w:rPr>
        <w:t xml:space="preserve"> </w:t>
      </w:r>
      <w:r w:rsidR="009201CD">
        <w:rPr>
          <w:rFonts w:ascii="Times New Roman" w:hAnsi="Times New Roman" w:cs="Times New Roman"/>
          <w:sz w:val="24"/>
          <w:szCs w:val="24"/>
        </w:rPr>
        <w:t>contributing to</w:t>
      </w:r>
      <w:r w:rsidR="005739B7">
        <w:rPr>
          <w:rFonts w:ascii="Times New Roman" w:hAnsi="Times New Roman" w:cs="Times New Roman"/>
          <w:sz w:val="24"/>
          <w:szCs w:val="24"/>
        </w:rPr>
        <w:t xml:space="preserve"> a sustainable transition towards modern, </w:t>
      </w:r>
      <w:r w:rsidR="00973182">
        <w:rPr>
          <w:rFonts w:ascii="Times New Roman" w:hAnsi="Times New Roman" w:cs="Times New Roman"/>
          <w:sz w:val="24"/>
          <w:szCs w:val="24"/>
        </w:rPr>
        <w:t>carbon-neutral</w:t>
      </w:r>
      <w:r w:rsidR="00844600">
        <w:rPr>
          <w:rFonts w:ascii="Times New Roman" w:hAnsi="Times New Roman" w:cs="Times New Roman"/>
          <w:sz w:val="24"/>
          <w:szCs w:val="24"/>
        </w:rPr>
        <w:t>,</w:t>
      </w:r>
      <w:r w:rsidR="00973182">
        <w:rPr>
          <w:rFonts w:ascii="Times New Roman" w:hAnsi="Times New Roman" w:cs="Times New Roman"/>
          <w:sz w:val="24"/>
          <w:szCs w:val="24"/>
        </w:rPr>
        <w:t xml:space="preserve"> </w:t>
      </w:r>
      <w:r w:rsidR="005739B7">
        <w:rPr>
          <w:rFonts w:ascii="Times New Roman" w:hAnsi="Times New Roman" w:cs="Times New Roman"/>
          <w:sz w:val="24"/>
          <w:szCs w:val="24"/>
        </w:rPr>
        <w:t>resource-efficient and competitive economies.</w:t>
      </w:r>
    </w:p>
    <w:p w14:paraId="5BD102B5" w14:textId="1589C92F" w:rsidR="00E914C1" w:rsidRDefault="00E914C1" w:rsidP="00E914C1">
      <w:pPr>
        <w:spacing w:after="120" w:line="240" w:lineRule="auto"/>
        <w:jc w:val="both"/>
        <w:rPr>
          <w:rFonts w:ascii="Times New Roman" w:eastAsia="Times New Roman" w:hAnsi="Times New Roman"/>
          <w:sz w:val="24"/>
          <w:szCs w:val="24"/>
        </w:rPr>
      </w:pPr>
      <w:r>
        <w:rPr>
          <w:rFonts w:ascii="Times New Roman" w:eastAsia="Times New Roman" w:hAnsi="Times New Roman" w:cs="Times New Roman"/>
          <w:sz w:val="24"/>
          <w:szCs w:val="24"/>
        </w:rPr>
        <w:lastRenderedPageBreak/>
        <w:t>T</w:t>
      </w:r>
      <w:r>
        <w:rPr>
          <w:rFonts w:ascii="Times New Roman" w:eastAsia="Times New Roman" w:hAnsi="Times New Roman"/>
          <w:sz w:val="24"/>
          <w:szCs w:val="24"/>
        </w:rPr>
        <w:t>he COVID</w:t>
      </w:r>
      <w:r w:rsidRPr="0094313B">
        <w:rPr>
          <w:rFonts w:ascii="Times New Roman" w:eastAsia="Times New Roman" w:hAnsi="Times New Roman"/>
          <w:sz w:val="24"/>
          <w:szCs w:val="24"/>
        </w:rPr>
        <w:t>-19 pandemic</w:t>
      </w:r>
      <w:r w:rsidRPr="00B2076D">
        <w:rPr>
          <w:rFonts w:ascii="Times New Roman" w:eastAsia="Times New Roman" w:hAnsi="Times New Roman"/>
          <w:sz w:val="24"/>
          <w:szCs w:val="24"/>
        </w:rPr>
        <w:t xml:space="preserve"> </w:t>
      </w:r>
      <w:r>
        <w:rPr>
          <w:rFonts w:ascii="Times New Roman" w:eastAsia="Times New Roman" w:hAnsi="Times New Roman"/>
          <w:sz w:val="24"/>
          <w:szCs w:val="24"/>
        </w:rPr>
        <w:t xml:space="preserve">has had an </w:t>
      </w:r>
      <w:r>
        <w:rPr>
          <w:rFonts w:ascii="Times New Roman" w:eastAsia="Times New Roman" w:hAnsi="Times New Roman"/>
          <w:b/>
          <w:sz w:val="24"/>
          <w:szCs w:val="24"/>
        </w:rPr>
        <w:t>important</w:t>
      </w:r>
      <w:r w:rsidRPr="008D1378">
        <w:rPr>
          <w:rFonts w:ascii="Times New Roman" w:eastAsia="Times New Roman" w:hAnsi="Times New Roman"/>
          <w:b/>
          <w:sz w:val="24"/>
          <w:szCs w:val="24"/>
        </w:rPr>
        <w:t xml:space="preserve"> disrupti</w:t>
      </w:r>
      <w:r>
        <w:rPr>
          <w:rFonts w:ascii="Times New Roman" w:eastAsia="Times New Roman" w:hAnsi="Times New Roman"/>
          <w:b/>
          <w:sz w:val="24"/>
          <w:szCs w:val="24"/>
        </w:rPr>
        <w:t>ve</w:t>
      </w:r>
      <w:r w:rsidRPr="008D1378">
        <w:rPr>
          <w:rFonts w:ascii="Times New Roman" w:eastAsia="Times New Roman" w:hAnsi="Times New Roman"/>
          <w:b/>
          <w:sz w:val="24"/>
          <w:szCs w:val="24"/>
        </w:rPr>
        <w:t xml:space="preserve"> effect on the economies</w:t>
      </w:r>
      <w:r w:rsidRPr="00B2076D">
        <w:rPr>
          <w:rFonts w:ascii="Times New Roman" w:eastAsia="Times New Roman" w:hAnsi="Times New Roman"/>
          <w:sz w:val="24"/>
          <w:szCs w:val="24"/>
        </w:rPr>
        <w:t xml:space="preserve"> of the Western Balkans</w:t>
      </w:r>
      <w:r>
        <w:rPr>
          <w:rFonts w:ascii="Times New Roman" w:eastAsia="Times New Roman" w:hAnsi="Times New Roman"/>
          <w:sz w:val="24"/>
          <w:szCs w:val="24"/>
        </w:rPr>
        <w:t xml:space="preserve">, </w:t>
      </w:r>
      <w:r>
        <w:rPr>
          <w:rFonts w:ascii="Times New Roman" w:eastAsia="Times New Roman" w:hAnsi="Times New Roman"/>
          <w:sz w:val="24"/>
          <w:szCs w:val="24"/>
          <w:lang w:val="en-IE"/>
        </w:rPr>
        <w:t xml:space="preserve">which </w:t>
      </w:r>
      <w:r>
        <w:rPr>
          <w:rFonts w:ascii="Times New Roman" w:eastAsia="Times New Roman" w:hAnsi="Times New Roman"/>
          <w:sz w:val="24"/>
          <w:szCs w:val="24"/>
        </w:rPr>
        <w:t>were</w:t>
      </w:r>
      <w:r w:rsidRPr="00206F86">
        <w:rPr>
          <w:rFonts w:ascii="Times New Roman" w:eastAsia="Times New Roman" w:hAnsi="Times New Roman"/>
          <w:sz w:val="24"/>
          <w:szCs w:val="24"/>
        </w:rPr>
        <w:t xml:space="preserve"> </w:t>
      </w:r>
      <w:r>
        <w:rPr>
          <w:rFonts w:ascii="Times New Roman" w:eastAsia="Times New Roman" w:hAnsi="Times New Roman"/>
          <w:sz w:val="24"/>
          <w:szCs w:val="24"/>
        </w:rPr>
        <w:t xml:space="preserve">already </w:t>
      </w:r>
      <w:r w:rsidRPr="00206F86">
        <w:rPr>
          <w:rFonts w:ascii="Times New Roman" w:eastAsia="Times New Roman" w:hAnsi="Times New Roman"/>
          <w:b/>
          <w:sz w:val="24"/>
          <w:szCs w:val="24"/>
        </w:rPr>
        <w:t>lagging behind in terms of economic convergence</w:t>
      </w:r>
      <w:r w:rsidRPr="00206F86">
        <w:rPr>
          <w:rFonts w:ascii="Times New Roman" w:hAnsi="Times New Roman"/>
          <w:sz w:val="24"/>
          <w:szCs w:val="24"/>
        </w:rPr>
        <w:t xml:space="preserve"> with </w:t>
      </w:r>
      <w:r w:rsidRPr="00206F86">
        <w:rPr>
          <w:rFonts w:ascii="Times New Roman" w:eastAsia="Times New Roman" w:hAnsi="Times New Roman"/>
          <w:sz w:val="24"/>
          <w:szCs w:val="24"/>
        </w:rPr>
        <w:t xml:space="preserve">the EU. The </w:t>
      </w:r>
      <w:r>
        <w:rPr>
          <w:rFonts w:ascii="Times New Roman" w:eastAsia="Times New Roman" w:hAnsi="Times New Roman"/>
          <w:sz w:val="24"/>
          <w:szCs w:val="24"/>
        </w:rPr>
        <w:t>region</w:t>
      </w:r>
      <w:r w:rsidRPr="00206F86">
        <w:rPr>
          <w:rFonts w:ascii="Times New Roman" w:eastAsia="Times New Roman" w:hAnsi="Times New Roman"/>
          <w:sz w:val="24"/>
          <w:szCs w:val="24"/>
        </w:rPr>
        <w:t xml:space="preserve"> </w:t>
      </w:r>
      <w:r w:rsidRPr="00206F86">
        <w:rPr>
          <w:rFonts w:ascii="Times New Roman" w:hAnsi="Times New Roman"/>
          <w:sz w:val="24"/>
          <w:szCs w:val="24"/>
          <w:lang w:val="en-IE"/>
        </w:rPr>
        <w:t>face</w:t>
      </w:r>
      <w:r>
        <w:rPr>
          <w:rFonts w:ascii="Times New Roman" w:hAnsi="Times New Roman"/>
          <w:sz w:val="24"/>
          <w:szCs w:val="24"/>
          <w:lang w:val="en-IE"/>
        </w:rPr>
        <w:t>s</w:t>
      </w:r>
      <w:r w:rsidRPr="00206F86">
        <w:rPr>
          <w:rFonts w:ascii="Times New Roman" w:hAnsi="Times New Roman"/>
          <w:sz w:val="24"/>
          <w:szCs w:val="24"/>
          <w:lang w:val="en-IE"/>
        </w:rPr>
        <w:t xml:space="preserve"> continued challenges from weak </w:t>
      </w:r>
      <w:r>
        <w:rPr>
          <w:rFonts w:ascii="Times New Roman" w:hAnsi="Times New Roman"/>
          <w:sz w:val="24"/>
          <w:szCs w:val="24"/>
          <w:lang w:val="en-IE"/>
        </w:rPr>
        <w:t>competitiveness</w:t>
      </w:r>
      <w:r w:rsidRPr="00206F86">
        <w:rPr>
          <w:rFonts w:ascii="Times New Roman" w:hAnsi="Times New Roman"/>
          <w:sz w:val="24"/>
          <w:szCs w:val="24"/>
          <w:lang w:val="en-IE"/>
        </w:rPr>
        <w:t xml:space="preserve">, high unemployment and significant brain drain. </w:t>
      </w:r>
      <w:r w:rsidRPr="00206F86">
        <w:rPr>
          <w:rFonts w:ascii="Times New Roman" w:eastAsia="Times New Roman" w:hAnsi="Times New Roman"/>
          <w:sz w:val="24"/>
          <w:szCs w:val="24"/>
        </w:rPr>
        <w:t>Th</w:t>
      </w:r>
      <w:r>
        <w:rPr>
          <w:rFonts w:ascii="Times New Roman" w:eastAsia="Times New Roman" w:hAnsi="Times New Roman"/>
          <w:sz w:val="24"/>
          <w:szCs w:val="24"/>
        </w:rPr>
        <w:t>e</w:t>
      </w:r>
      <w:r w:rsidRPr="00206F86">
        <w:rPr>
          <w:rFonts w:ascii="Times New Roman" w:eastAsia="Times New Roman" w:hAnsi="Times New Roman"/>
          <w:sz w:val="24"/>
          <w:szCs w:val="24"/>
        </w:rPr>
        <w:t xml:space="preserve"> need to</w:t>
      </w:r>
      <w:r>
        <w:rPr>
          <w:rFonts w:ascii="Times New Roman" w:eastAsia="Times New Roman" w:hAnsi="Times New Roman"/>
          <w:sz w:val="24"/>
          <w:szCs w:val="24"/>
        </w:rPr>
        <w:t xml:space="preserve"> step up efforts in implementing structural reforms, to overcome the main structural weaknesses and</w:t>
      </w:r>
      <w:r w:rsidRPr="00206F86">
        <w:rPr>
          <w:rFonts w:ascii="Times New Roman" w:eastAsia="Times New Roman" w:hAnsi="Times New Roman"/>
          <w:sz w:val="24"/>
          <w:szCs w:val="24"/>
        </w:rPr>
        <w:t xml:space="preserve"> </w:t>
      </w:r>
      <w:r>
        <w:rPr>
          <w:rFonts w:ascii="Times New Roman" w:eastAsia="Times New Roman" w:hAnsi="Times New Roman"/>
          <w:sz w:val="24"/>
          <w:szCs w:val="24"/>
        </w:rPr>
        <w:t>accelerate convergence is more pressing than ever</w:t>
      </w:r>
      <w:r w:rsidRPr="00206F86">
        <w:rPr>
          <w:rFonts w:ascii="Times New Roman" w:eastAsia="Times New Roman" w:hAnsi="Times New Roman"/>
          <w:sz w:val="24"/>
          <w:szCs w:val="24"/>
        </w:rPr>
        <w:t>.</w:t>
      </w:r>
    </w:p>
    <w:p w14:paraId="55D69F1A" w14:textId="1FDF815E" w:rsidR="00E914C1" w:rsidRDefault="00E914C1" w:rsidP="005739B7">
      <w:pPr>
        <w:spacing w:after="120" w:line="240" w:lineRule="auto"/>
        <w:jc w:val="both"/>
        <w:rPr>
          <w:rFonts w:ascii="Times New Roman" w:hAnsi="Times New Roman" w:cs="Times New Roman"/>
          <w:sz w:val="24"/>
          <w:szCs w:val="24"/>
        </w:rPr>
      </w:pPr>
    </w:p>
    <w:p w14:paraId="74CF8909" w14:textId="77777777" w:rsidR="005739B7" w:rsidRPr="00293E28" w:rsidRDefault="005739B7" w:rsidP="005739B7">
      <w:pPr>
        <w:spacing w:after="120" w:line="240" w:lineRule="auto"/>
        <w:jc w:val="both"/>
        <w:rPr>
          <w:rFonts w:ascii="Times New Roman" w:hAnsi="Times New Roman" w:cs="Times New Roman"/>
          <w:b/>
          <w:bCs/>
          <w:i/>
          <w:iCs/>
          <w:sz w:val="24"/>
          <w:szCs w:val="24"/>
          <w:u w:val="single"/>
        </w:rPr>
      </w:pPr>
      <w:r w:rsidRPr="36BE81E9">
        <w:rPr>
          <w:rFonts w:ascii="Times New Roman" w:hAnsi="Times New Roman" w:cs="Times New Roman"/>
          <w:b/>
          <w:bCs/>
          <w:i/>
          <w:iCs/>
          <w:sz w:val="24"/>
          <w:szCs w:val="24"/>
          <w:u w:val="single"/>
        </w:rPr>
        <w:t>IPA III – A policy-based instrument – Policy framework</w:t>
      </w:r>
    </w:p>
    <w:p w14:paraId="58C90838" w14:textId="39CA26AB"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presents a solid policy-driven approach, with strategic and dynamic deployment of assistance, putting the fundamental requirements for membership at the core of the instrument. By further focusing EU financial assistance on key priorities, IPA III will leverage support</w:t>
      </w:r>
      <w:r w:rsidR="000B2C57">
        <w:rPr>
          <w:rFonts w:ascii="Times New Roman" w:hAnsi="Times New Roman" w:cs="Times New Roman"/>
          <w:sz w:val="24"/>
          <w:szCs w:val="24"/>
        </w:rPr>
        <w:t xml:space="preserve"> to</w:t>
      </w:r>
      <w:r w:rsidRPr="36BE81E9">
        <w:rPr>
          <w:rFonts w:ascii="Times New Roman" w:hAnsi="Times New Roman" w:cs="Times New Roman"/>
          <w:sz w:val="24"/>
          <w:szCs w:val="24"/>
        </w:rPr>
        <w:t xml:space="preserve"> reforms fostering sustainable socio-economic development and bringing the partners closer to the Union’s values and standards. </w:t>
      </w:r>
    </w:p>
    <w:p w14:paraId="334D2031" w14:textId="0961FF66" w:rsidR="005739B7"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 xml:space="preserve">The EU accession process is built on strict but fair conditionality and aims at ensuring that candidate countries and potential candidates meet </w:t>
      </w:r>
      <w:r w:rsidR="003A5CA1">
        <w:rPr>
          <w:rFonts w:ascii="Times New Roman" w:hAnsi="Times New Roman" w:cs="Times New Roman"/>
          <w:sz w:val="24"/>
          <w:szCs w:val="24"/>
        </w:rPr>
        <w:t xml:space="preserve">all </w:t>
      </w:r>
      <w:r w:rsidRPr="592E4EBE">
        <w:rPr>
          <w:rFonts w:ascii="Times New Roman" w:hAnsi="Times New Roman" w:cs="Times New Roman"/>
          <w:sz w:val="24"/>
          <w:szCs w:val="24"/>
        </w:rPr>
        <w:t xml:space="preserve">membership criteria. The "fundamentals first" principle is at the heart of this process. Core pillars of the rule of law, fundamental rights and strengthening democratic institutions; public administration reform at all levels of government; as well as sustainable economic development and competitiveness remain key. These issues reflect the importance the EU attaches to its core values and general policy priorities. All three pillars are closely linked, and properly addressing the fundamentals is thus key to meeting the membership criteria in line with the revised enlargement methodology, as well as reinforcing </w:t>
      </w:r>
      <w:r>
        <w:rPr>
          <w:rFonts w:ascii="Times New Roman" w:hAnsi="Times New Roman" w:cs="Times New Roman"/>
          <w:sz w:val="24"/>
          <w:szCs w:val="24"/>
        </w:rPr>
        <w:t xml:space="preserve">sustainable </w:t>
      </w:r>
      <w:r w:rsidRPr="592E4EBE">
        <w:rPr>
          <w:rFonts w:ascii="Times New Roman" w:hAnsi="Times New Roman" w:cs="Times New Roman"/>
          <w:sz w:val="24"/>
          <w:szCs w:val="24"/>
        </w:rPr>
        <w:t xml:space="preserve">economic development and investments, ever more needed for a swift recovery from the economic downturn created by the </w:t>
      </w:r>
      <w:r>
        <w:rPr>
          <w:rFonts w:ascii="Times New Roman" w:hAnsi="Times New Roman" w:cs="Times New Roman"/>
          <w:sz w:val="24"/>
          <w:szCs w:val="24"/>
        </w:rPr>
        <w:t>COVID-19</w:t>
      </w:r>
      <w:r w:rsidRPr="592E4EBE">
        <w:rPr>
          <w:rFonts w:ascii="Times New Roman" w:hAnsi="Times New Roman" w:cs="Times New Roman"/>
          <w:sz w:val="24"/>
          <w:szCs w:val="24"/>
        </w:rPr>
        <w:t xml:space="preserve"> crisis. </w:t>
      </w:r>
    </w:p>
    <w:p w14:paraId="30D8B518" w14:textId="77777777" w:rsidR="005739B7" w:rsidRDefault="005739B7" w:rsidP="005739B7">
      <w:pPr>
        <w:spacing w:after="120" w:line="240" w:lineRule="auto"/>
        <w:jc w:val="both"/>
        <w:rPr>
          <w:rFonts w:ascii="Times New Roman" w:hAnsi="Times New Roman" w:cs="Times New Roman"/>
          <w:sz w:val="24"/>
          <w:szCs w:val="24"/>
        </w:rPr>
      </w:pPr>
      <w:r w:rsidRPr="00B65C9D">
        <w:rPr>
          <w:rFonts w:ascii="Times New Roman" w:hAnsi="Times New Roman" w:cs="Times New Roman"/>
          <w:sz w:val="24"/>
          <w:szCs w:val="24"/>
        </w:rPr>
        <w:t xml:space="preserve">In order to meet the well-established membership criteria and their own policy priorities, the </w:t>
      </w:r>
      <w:r>
        <w:rPr>
          <w:rFonts w:ascii="Times New Roman" w:hAnsi="Times New Roman" w:cs="Times New Roman"/>
          <w:sz w:val="24"/>
          <w:szCs w:val="24"/>
        </w:rPr>
        <w:t>beneficiaries</w:t>
      </w:r>
      <w:r w:rsidRPr="00B65C9D">
        <w:rPr>
          <w:rFonts w:ascii="Times New Roman" w:hAnsi="Times New Roman" w:cs="Times New Roman"/>
          <w:sz w:val="24"/>
          <w:szCs w:val="24"/>
        </w:rPr>
        <w:t xml:space="preserve"> need</w:t>
      </w:r>
      <w:r>
        <w:rPr>
          <w:rFonts w:ascii="Times New Roman" w:hAnsi="Times New Roman" w:cs="Times New Roman"/>
          <w:sz w:val="24"/>
          <w:szCs w:val="24"/>
        </w:rPr>
        <w:t xml:space="preserve"> to</w:t>
      </w:r>
      <w:r w:rsidRPr="00B65C9D">
        <w:rPr>
          <w:rFonts w:ascii="Times New Roman" w:hAnsi="Times New Roman" w:cs="Times New Roman"/>
          <w:sz w:val="24"/>
          <w:szCs w:val="24"/>
        </w:rPr>
        <w:t xml:space="preserve"> </w:t>
      </w:r>
      <w:r>
        <w:rPr>
          <w:rFonts w:ascii="Times New Roman" w:hAnsi="Times New Roman" w:cs="Times New Roman"/>
          <w:sz w:val="24"/>
          <w:szCs w:val="24"/>
        </w:rPr>
        <w:t>deliver on their commitment to implement the fundamental reforms essential for success on the EU path</w:t>
      </w:r>
      <w:r w:rsidRPr="00B65C9D">
        <w:rPr>
          <w:rFonts w:ascii="Times New Roman" w:hAnsi="Times New Roman" w:cs="Times New Roman"/>
          <w:sz w:val="24"/>
          <w:szCs w:val="24"/>
        </w:rPr>
        <w:t>. The rule of law, fundamental rights and functioning of democratic institutions together with good governance must be strengthened significantly. Socio-economic reforms must be pursued with vigour to address structural weaknesses, low competitiveness and high unemployment</w:t>
      </w:r>
      <w:r>
        <w:rPr>
          <w:rFonts w:ascii="Times New Roman" w:hAnsi="Times New Roman" w:cs="Times New Roman"/>
          <w:sz w:val="24"/>
          <w:szCs w:val="24"/>
        </w:rPr>
        <w:t xml:space="preserve"> and accelerate sustainable economic recovery from the COVID-19 crisis</w:t>
      </w:r>
      <w:r w:rsidRPr="00B65C9D">
        <w:rPr>
          <w:rFonts w:ascii="Times New Roman" w:hAnsi="Times New Roman" w:cs="Times New Roman"/>
          <w:sz w:val="24"/>
          <w:szCs w:val="24"/>
        </w:rPr>
        <w:t xml:space="preserve">. </w:t>
      </w:r>
    </w:p>
    <w:p w14:paraId="04A82387" w14:textId="6CB616C1" w:rsidR="005739B7" w:rsidRPr="00B65C9D" w:rsidRDefault="005739B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specific instruments of the enlargement process, namely: the negotiating frameworks, the recommendations of the Enlargement Package, t</w:t>
      </w:r>
      <w:r w:rsidRPr="00B65C9D">
        <w:rPr>
          <w:rFonts w:ascii="Times New Roman" w:hAnsi="Times New Roman" w:cs="Times New Roman"/>
          <w:sz w:val="24"/>
          <w:szCs w:val="24"/>
        </w:rPr>
        <w:t>he Economic Reform Programmes (ERPs) and the policy guidance agreed annually in the joint conclusions</w:t>
      </w:r>
      <w:r>
        <w:rPr>
          <w:rFonts w:ascii="Times New Roman" w:hAnsi="Times New Roman" w:cs="Times New Roman"/>
          <w:sz w:val="24"/>
          <w:szCs w:val="24"/>
        </w:rPr>
        <w:t xml:space="preserve">, the conclusions of the meetings organised in the context of the (Stabilisation and) Association Agreements as well as, the </w:t>
      </w:r>
      <w:r w:rsidRPr="00B65C9D">
        <w:rPr>
          <w:rFonts w:ascii="Times New Roman" w:hAnsi="Times New Roman" w:cs="Times New Roman"/>
          <w:sz w:val="24"/>
          <w:szCs w:val="24"/>
        </w:rPr>
        <w:t>EU-Western Balkans Strategy</w:t>
      </w:r>
      <w:r w:rsidRPr="00B65C9D">
        <w:rPr>
          <w:rStyle w:val="DipnotBavurusu"/>
          <w:rFonts w:ascii="Times New Roman" w:hAnsi="Times New Roman" w:cs="Times New Roman"/>
          <w:sz w:val="24"/>
          <w:szCs w:val="24"/>
        </w:rPr>
        <w:footnoteReference w:id="7"/>
      </w:r>
      <w:r>
        <w:rPr>
          <w:rFonts w:ascii="Times New Roman" w:hAnsi="Times New Roman" w:cs="Times New Roman"/>
          <w:sz w:val="24"/>
          <w:szCs w:val="24"/>
        </w:rPr>
        <w:t xml:space="preserve">, and the national plan for the adoption of the </w:t>
      </w:r>
      <w:r w:rsidR="005333A5">
        <w:rPr>
          <w:rFonts w:ascii="Times New Roman" w:hAnsi="Times New Roman" w:cs="Times New Roman"/>
          <w:sz w:val="24"/>
          <w:szCs w:val="24"/>
        </w:rPr>
        <w:t xml:space="preserve">EU </w:t>
      </w:r>
      <w:r w:rsidRPr="592E4EBE">
        <w:rPr>
          <w:rFonts w:ascii="Times New Roman" w:hAnsi="Times New Roman" w:cs="Times New Roman"/>
          <w:i/>
          <w:iCs/>
          <w:sz w:val="24"/>
          <w:szCs w:val="24"/>
        </w:rPr>
        <w:t>acquis</w:t>
      </w:r>
      <w:r w:rsidRPr="36BE81E9">
        <w:rPr>
          <w:rFonts w:ascii="Times New Roman" w:hAnsi="Times New Roman" w:cs="Times New Roman"/>
          <w:sz w:val="24"/>
          <w:szCs w:val="24"/>
        </w:rPr>
        <w:t>, all form the basis</w:t>
      </w:r>
      <w:r w:rsidRPr="002B6231">
        <w:rPr>
          <w:rFonts w:ascii="Times New Roman" w:hAnsi="Times New Roman" w:cs="Times New Roman"/>
          <w:sz w:val="24"/>
          <w:szCs w:val="24"/>
        </w:rPr>
        <w:t xml:space="preserve"> for identifying</w:t>
      </w:r>
      <w:r>
        <w:rPr>
          <w:rFonts w:ascii="Times New Roman" w:hAnsi="Times New Roman" w:cs="Times New Roman"/>
          <w:sz w:val="24"/>
          <w:szCs w:val="24"/>
        </w:rPr>
        <w:t xml:space="preserve"> and guiding the fundamental reforms.</w:t>
      </w:r>
      <w:r w:rsidRPr="00B65C9D">
        <w:rPr>
          <w:rFonts w:ascii="Times New Roman" w:hAnsi="Times New Roman" w:cs="Times New Roman"/>
          <w:sz w:val="24"/>
          <w:szCs w:val="24"/>
        </w:rPr>
        <w:t xml:space="preserve"> The IPA III beneficiaries must also commit to overcoming the legacy of the past, by achieving reconciliation and solving open bilateral issues well before their accession to the EU, in particular border disputes.</w:t>
      </w:r>
    </w:p>
    <w:p w14:paraId="4167A24C"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overall objective of the EU’s assistance to candidate countries and potential candidates is to support the IPA III beneficiaries in adopting and implementing the political, institutional, legal, administrative, social and economic reforms required by those beneficiaries to comply with Union values and to progressively align to Union rules, standards, policies and practices </w:t>
      </w:r>
      <w:r w:rsidRPr="36BE81E9">
        <w:rPr>
          <w:rFonts w:ascii="Times New Roman" w:hAnsi="Times New Roman" w:cs="Times New Roman"/>
          <w:sz w:val="24"/>
          <w:szCs w:val="24"/>
        </w:rPr>
        <w:lastRenderedPageBreak/>
        <w:t xml:space="preserve">with a view to Union membership, thereby contributing to their stability, security and prosperity. The ultimate indicator of the state of preparedness is progress on the path to the European Union as measured in the Commission’s annual </w:t>
      </w:r>
      <w:r>
        <w:rPr>
          <w:rFonts w:ascii="Times New Roman" w:hAnsi="Times New Roman" w:cs="Times New Roman"/>
          <w:sz w:val="24"/>
          <w:szCs w:val="24"/>
        </w:rPr>
        <w:t>E</w:t>
      </w:r>
      <w:r w:rsidRPr="36BE81E9">
        <w:rPr>
          <w:rFonts w:ascii="Times New Roman" w:hAnsi="Times New Roman" w:cs="Times New Roman"/>
          <w:sz w:val="24"/>
          <w:szCs w:val="24"/>
        </w:rPr>
        <w:t xml:space="preserve">nlargement </w:t>
      </w:r>
      <w:r>
        <w:rPr>
          <w:rFonts w:ascii="Times New Roman" w:hAnsi="Times New Roman" w:cs="Times New Roman"/>
          <w:sz w:val="24"/>
          <w:szCs w:val="24"/>
        </w:rPr>
        <w:t>P</w:t>
      </w:r>
      <w:r w:rsidRPr="36BE81E9">
        <w:rPr>
          <w:rFonts w:ascii="Times New Roman" w:hAnsi="Times New Roman" w:cs="Times New Roman"/>
          <w:sz w:val="24"/>
          <w:szCs w:val="24"/>
        </w:rPr>
        <w:t xml:space="preserve">ackage and relevant </w:t>
      </w:r>
      <w:r>
        <w:rPr>
          <w:rFonts w:ascii="Times New Roman" w:hAnsi="Times New Roman" w:cs="Times New Roman"/>
          <w:sz w:val="24"/>
          <w:szCs w:val="24"/>
        </w:rPr>
        <w:t>third party assessments</w:t>
      </w:r>
      <w:r w:rsidRPr="36BE81E9">
        <w:rPr>
          <w:rFonts w:ascii="Times New Roman" w:hAnsi="Times New Roman" w:cs="Times New Roman"/>
          <w:sz w:val="24"/>
          <w:szCs w:val="24"/>
        </w:rPr>
        <w:t xml:space="preserve">. </w:t>
      </w:r>
    </w:p>
    <w:p w14:paraId="3FCA168D" w14:textId="75DC15C8" w:rsidR="005739B7" w:rsidRDefault="005739B7" w:rsidP="005739B7">
      <w:pPr>
        <w:spacing w:after="120" w:line="240" w:lineRule="auto"/>
        <w:jc w:val="both"/>
        <w:rPr>
          <w:rFonts w:ascii="Times New Roman" w:hAnsi="Times New Roman" w:cs="Times New Roman"/>
          <w:sz w:val="24"/>
          <w:szCs w:val="24"/>
        </w:rPr>
      </w:pPr>
      <w:r w:rsidRPr="36BE81E9">
        <w:rPr>
          <w:rFonts w:ascii="Times New Roman" w:eastAsia="Times New Roman" w:hAnsi="Times New Roman" w:cs="Times New Roman"/>
          <w:sz w:val="24"/>
          <w:szCs w:val="24"/>
        </w:rPr>
        <w:t>The External Action Guarantee</w:t>
      </w:r>
      <w:r>
        <w:rPr>
          <w:rFonts w:ascii="Times New Roman" w:eastAsia="Times New Roman" w:hAnsi="Times New Roman" w:cs="Times New Roman"/>
          <w:sz w:val="24"/>
          <w:szCs w:val="24"/>
        </w:rPr>
        <w:t xml:space="preserve"> (EAG), created </w:t>
      </w:r>
      <w:r w:rsidRPr="36BE81E9">
        <w:rPr>
          <w:rFonts w:ascii="Times New Roman" w:eastAsia="Times New Roman" w:hAnsi="Times New Roman" w:cs="Times New Roman"/>
          <w:sz w:val="24"/>
          <w:szCs w:val="24"/>
        </w:rPr>
        <w:t>under the Neighbourhood, Development and International Cooperation</w:t>
      </w:r>
      <w:r>
        <w:rPr>
          <w:rFonts w:ascii="Times New Roman" w:eastAsia="Times New Roman" w:hAnsi="Times New Roman" w:cs="Times New Roman"/>
          <w:sz w:val="24"/>
          <w:szCs w:val="24"/>
        </w:rPr>
        <w:t xml:space="preserve"> Instrument</w:t>
      </w:r>
      <w:r w:rsidR="00EE314A">
        <w:rPr>
          <w:rFonts w:ascii="Times New Roman" w:eastAsia="Times New Roman" w:hAnsi="Times New Roman" w:cs="Times New Roman"/>
          <w:sz w:val="24"/>
          <w:szCs w:val="24"/>
        </w:rPr>
        <w:t xml:space="preserve"> – Global Europe</w:t>
      </w:r>
      <w:r>
        <w:rPr>
          <w:rFonts w:ascii="Times New Roman" w:eastAsia="Times New Roman" w:hAnsi="Times New Roman" w:cs="Times New Roman"/>
          <w:sz w:val="24"/>
          <w:szCs w:val="24"/>
        </w:rPr>
        <w:t xml:space="preserve"> (NDICI</w:t>
      </w:r>
      <w:r w:rsidR="00EE314A">
        <w:rPr>
          <w:rFonts w:ascii="Times New Roman" w:eastAsia="Times New Roman" w:hAnsi="Times New Roman" w:cs="Times New Roman"/>
          <w:sz w:val="24"/>
          <w:szCs w:val="24"/>
        </w:rPr>
        <w:t>-GE</w:t>
      </w:r>
      <w:r>
        <w:rPr>
          <w:rFonts w:ascii="Times New Roman" w:eastAsia="Times New Roman" w:hAnsi="Times New Roman" w:cs="Times New Roman"/>
          <w:sz w:val="24"/>
          <w:szCs w:val="24"/>
        </w:rPr>
        <w:t>)</w:t>
      </w:r>
      <w:r w:rsidR="00EE314A">
        <w:rPr>
          <w:rStyle w:val="DipnotBavurusu"/>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and financed by NDICI</w:t>
      </w:r>
      <w:r w:rsidR="00EE314A">
        <w:rPr>
          <w:rFonts w:ascii="Times New Roman" w:eastAsia="Times New Roman" w:hAnsi="Times New Roman" w:cs="Times New Roman"/>
          <w:sz w:val="24"/>
          <w:szCs w:val="24"/>
        </w:rPr>
        <w:t>-GE</w:t>
      </w:r>
      <w:r>
        <w:rPr>
          <w:rFonts w:ascii="Times New Roman" w:eastAsia="Times New Roman" w:hAnsi="Times New Roman" w:cs="Times New Roman"/>
          <w:sz w:val="24"/>
          <w:szCs w:val="24"/>
        </w:rPr>
        <w:t xml:space="preserve"> and</w:t>
      </w:r>
      <w:r w:rsidRPr="36BE81E9">
        <w:rPr>
          <w:rFonts w:ascii="Times New Roman" w:eastAsia="Times New Roman" w:hAnsi="Times New Roman" w:cs="Times New Roman"/>
          <w:sz w:val="24"/>
          <w:szCs w:val="24"/>
        </w:rPr>
        <w:t xml:space="preserve"> IPA III funds</w:t>
      </w:r>
      <w:r>
        <w:rPr>
          <w:rFonts w:ascii="Times New Roman" w:eastAsia="Times New Roman" w:hAnsi="Times New Roman" w:cs="Times New Roman"/>
          <w:sz w:val="24"/>
          <w:szCs w:val="24"/>
        </w:rPr>
        <w:t>,</w:t>
      </w:r>
      <w:r w:rsidRPr="36BE81E9">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also </w:t>
      </w:r>
      <w:r w:rsidRPr="36BE81E9">
        <w:rPr>
          <w:rFonts w:ascii="Times New Roman" w:eastAsia="Times New Roman" w:hAnsi="Times New Roman" w:cs="Times New Roman"/>
          <w:sz w:val="24"/>
          <w:szCs w:val="24"/>
        </w:rPr>
        <w:t xml:space="preserve">form the </w:t>
      </w:r>
      <w:r w:rsidRPr="00D3556E">
        <w:rPr>
          <w:rFonts w:ascii="Times New Roman" w:eastAsia="Times New Roman" w:hAnsi="Times New Roman" w:cs="Times New Roman"/>
          <w:sz w:val="24"/>
          <w:szCs w:val="24"/>
        </w:rPr>
        <w:t>backbone of the</w:t>
      </w:r>
      <w:r w:rsidRPr="004D0A0B">
        <w:rPr>
          <w:rFonts w:ascii="Times New Roman" w:eastAsia="Times New Roman" w:hAnsi="Times New Roman" w:cs="Times New Roman"/>
          <w:b/>
          <w:sz w:val="24"/>
          <w:szCs w:val="24"/>
        </w:rPr>
        <w:t xml:space="preserve"> </w:t>
      </w:r>
      <w:r w:rsidRPr="004D0A0B">
        <w:rPr>
          <w:rFonts w:ascii="Times New Roman" w:hAnsi="Times New Roman" w:cs="Times New Roman"/>
          <w:b/>
          <w:sz w:val="24"/>
          <w:szCs w:val="24"/>
        </w:rPr>
        <w:t>Economic and Investment Plan for the Western Balkans</w:t>
      </w:r>
      <w:r>
        <w:rPr>
          <w:rFonts w:ascii="Times New Roman" w:hAnsi="Times New Roman" w:cs="Times New Roman"/>
          <w:b/>
          <w:sz w:val="24"/>
          <w:szCs w:val="24"/>
        </w:rPr>
        <w:t xml:space="preserve">. </w:t>
      </w:r>
      <w:r>
        <w:rPr>
          <w:rFonts w:ascii="Times New Roman" w:hAnsi="Times New Roman" w:cs="Times New Roman"/>
          <w:sz w:val="24"/>
          <w:szCs w:val="24"/>
        </w:rPr>
        <w:t>In the Western Balkans, the EAG will be named the “Western Balkans Guarantee Facility”</w:t>
      </w:r>
      <w:r w:rsidRPr="004D0A0B">
        <w:rPr>
          <w:rFonts w:ascii="Times New Roman" w:hAnsi="Times New Roman" w:cs="Times New Roman"/>
          <w:b/>
          <w:sz w:val="24"/>
          <w:szCs w:val="24"/>
        </w:rPr>
        <w:t xml:space="preserve"> </w:t>
      </w:r>
      <w:r w:rsidRPr="36BE81E9">
        <w:rPr>
          <w:rFonts w:ascii="Times New Roman" w:hAnsi="Times New Roman" w:cs="Times New Roman"/>
          <w:sz w:val="24"/>
          <w:szCs w:val="24"/>
        </w:rPr>
        <w:t xml:space="preserve">and </w:t>
      </w:r>
      <w:r>
        <w:rPr>
          <w:rFonts w:ascii="Times New Roman" w:hAnsi="Times New Roman" w:cs="Times New Roman"/>
          <w:sz w:val="24"/>
          <w:szCs w:val="24"/>
        </w:rPr>
        <w:t xml:space="preserve">will </w:t>
      </w:r>
      <w:r w:rsidRPr="36BE81E9">
        <w:rPr>
          <w:rFonts w:ascii="Times New Roman" w:hAnsi="Times New Roman" w:cs="Times New Roman"/>
          <w:sz w:val="24"/>
          <w:szCs w:val="24"/>
        </w:rPr>
        <w:t>be instrumental to tackle the hard socio-economic impact of the crisis, to modernise the economies in the region, support the necessary socio-economic reforms</w:t>
      </w:r>
      <w:r>
        <w:rPr>
          <w:rFonts w:ascii="Times New Roman" w:hAnsi="Times New Roman" w:cs="Times New Roman"/>
          <w:sz w:val="24"/>
          <w:szCs w:val="24"/>
        </w:rPr>
        <w:t xml:space="preserve">, </w:t>
      </w:r>
      <w:r w:rsidRPr="36BE81E9">
        <w:rPr>
          <w:rFonts w:ascii="Times New Roman" w:hAnsi="Times New Roman" w:cs="Times New Roman"/>
          <w:sz w:val="24"/>
          <w:szCs w:val="24"/>
        </w:rPr>
        <w:t>start closing the development gap</w:t>
      </w:r>
      <w:r>
        <w:rPr>
          <w:rFonts w:ascii="Times New Roman" w:hAnsi="Times New Roman" w:cs="Times New Roman"/>
          <w:sz w:val="24"/>
          <w:szCs w:val="24"/>
        </w:rPr>
        <w:t xml:space="preserve"> and support the twin green and digital transition</w:t>
      </w:r>
      <w:r w:rsidRPr="36BE81E9">
        <w:rPr>
          <w:rFonts w:ascii="Times New Roman" w:hAnsi="Times New Roman" w:cs="Times New Roman"/>
          <w:sz w:val="24"/>
          <w:szCs w:val="24"/>
        </w:rPr>
        <w:t>.</w:t>
      </w:r>
      <w:r w:rsidRPr="36BE81E9">
        <w:rPr>
          <w:rFonts w:ascii="Times New Roman" w:eastAsia="Times New Roman" w:hAnsi="Times New Roman" w:cs="Times New Roman"/>
          <w:sz w:val="24"/>
          <w:szCs w:val="24"/>
        </w:rPr>
        <w:t xml:space="preserve"> </w:t>
      </w:r>
      <w:r>
        <w:rPr>
          <w:rFonts w:ascii="Times New Roman" w:hAnsi="Times New Roman" w:cs="Times New Roman"/>
          <w:sz w:val="24"/>
          <w:szCs w:val="24"/>
        </w:rPr>
        <w:t>The Economic and Investment Plan will also facilitate</w:t>
      </w:r>
      <w:r>
        <w:rPr>
          <w:rFonts w:ascii="Times New Roman" w:eastAsia="Times New Roman" w:hAnsi="Times New Roman" w:cs="Times New Roman"/>
          <w:sz w:val="24"/>
          <w:szCs w:val="24"/>
        </w:rPr>
        <w:t xml:space="preserve"> increased investment in the region</w:t>
      </w:r>
      <w:r>
        <w:rPr>
          <w:rFonts w:ascii="Times New Roman" w:hAnsi="Times New Roman" w:cs="Times New Roman"/>
          <w:sz w:val="24"/>
          <w:szCs w:val="24"/>
        </w:rPr>
        <w:t>.</w:t>
      </w:r>
      <w:r w:rsidRPr="004D0A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heart of this plan </w:t>
      </w:r>
      <w:r>
        <w:rPr>
          <w:rFonts w:ascii="Times New Roman" w:hAnsi="Times New Roman" w:cs="Times New Roman"/>
          <w:sz w:val="24"/>
          <w:szCs w:val="24"/>
        </w:rPr>
        <w:t xml:space="preserve">is a </w:t>
      </w:r>
      <w:r w:rsidRPr="00197752">
        <w:rPr>
          <w:rFonts w:ascii="Times New Roman" w:hAnsi="Times New Roman" w:cs="Times New Roman"/>
          <w:b/>
          <w:sz w:val="24"/>
          <w:szCs w:val="24"/>
        </w:rPr>
        <w:t>substantial investment package</w:t>
      </w:r>
      <w:r>
        <w:rPr>
          <w:rFonts w:ascii="Times New Roman" w:hAnsi="Times New Roman" w:cs="Times New Roman"/>
          <w:sz w:val="24"/>
          <w:szCs w:val="24"/>
        </w:rPr>
        <w:t xml:space="preserve"> articulated around ten indicative</w:t>
      </w:r>
      <w:r w:rsidRPr="0094313B">
        <w:rPr>
          <w:rFonts w:ascii="Times New Roman" w:hAnsi="Times New Roman" w:cs="Times New Roman"/>
          <w:b/>
          <w:sz w:val="24"/>
          <w:szCs w:val="24"/>
        </w:rPr>
        <w:t xml:space="preserve"> investment flagships</w:t>
      </w:r>
      <w:r>
        <w:rPr>
          <w:rFonts w:ascii="Times New Roman" w:hAnsi="Times New Roman" w:cs="Times New Roman"/>
          <w:sz w:val="24"/>
          <w:szCs w:val="24"/>
        </w:rPr>
        <w:t xml:space="preserve"> that can support t</w:t>
      </w:r>
      <w:r w:rsidRPr="00197752">
        <w:rPr>
          <w:rFonts w:ascii="Times New Roman" w:hAnsi="Times New Roman" w:cs="Times New Roman"/>
          <w:sz w:val="24"/>
          <w:szCs w:val="24"/>
        </w:rPr>
        <w:t>he development of connected,</w:t>
      </w:r>
      <w:r>
        <w:rPr>
          <w:rFonts w:ascii="Times New Roman" w:hAnsi="Times New Roman" w:cs="Times New Roman"/>
          <w:sz w:val="24"/>
          <w:szCs w:val="24"/>
        </w:rPr>
        <w:t xml:space="preserve"> green,</w:t>
      </w:r>
      <w:r w:rsidRPr="00197752">
        <w:rPr>
          <w:rFonts w:ascii="Times New Roman" w:hAnsi="Times New Roman" w:cs="Times New Roman"/>
          <w:sz w:val="24"/>
          <w:szCs w:val="24"/>
        </w:rPr>
        <w:t xml:space="preserve"> competitive and thriving economies in the Western Balkans, with an increasingly dynamic private sector</w:t>
      </w:r>
      <w:r>
        <w:rPr>
          <w:rFonts w:ascii="Times New Roman" w:hAnsi="Times New Roman" w:cs="Times New Roman"/>
          <w:sz w:val="24"/>
          <w:szCs w:val="24"/>
        </w:rPr>
        <w:t xml:space="preserve"> and a stronger human capital development. The accompanying </w:t>
      </w:r>
      <w:r w:rsidRPr="00D74625">
        <w:rPr>
          <w:rFonts w:ascii="Times New Roman" w:hAnsi="Times New Roman" w:cs="Times New Roman"/>
          <w:sz w:val="24"/>
          <w:szCs w:val="24"/>
        </w:rPr>
        <w:t>Guidelines for the Implementation of the Green Agenda for the Western Balkans</w:t>
      </w:r>
      <w:r>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will support the alignment of the Western Balkans with the goals of the European Green Deal</w:t>
      </w:r>
      <w:r w:rsidR="00844600">
        <w:rPr>
          <w:rStyle w:val="DipnotBavurusu"/>
          <w:rFonts w:ascii="Times New Roman" w:hAnsi="Times New Roman" w:cs="Times New Roman"/>
          <w:sz w:val="24"/>
          <w:szCs w:val="24"/>
        </w:rPr>
        <w:footnoteReference w:id="10"/>
      </w:r>
      <w:r>
        <w:rPr>
          <w:rFonts w:ascii="Times New Roman" w:hAnsi="Times New Roman" w:cs="Times New Roman"/>
          <w:sz w:val="24"/>
          <w:szCs w:val="24"/>
        </w:rPr>
        <w:t>.</w:t>
      </w:r>
    </w:p>
    <w:p w14:paraId="46CFEA00" w14:textId="1A353E9C" w:rsidR="005739B7" w:rsidRPr="00685484" w:rsidRDefault="005739B7" w:rsidP="005739B7">
      <w:pPr>
        <w:spacing w:after="120" w:line="240" w:lineRule="auto"/>
        <w:jc w:val="both"/>
        <w:rPr>
          <w:rFonts w:ascii="Times New Roman" w:eastAsia="Times New Roman" w:hAnsi="Times New Roman"/>
          <w:sz w:val="24"/>
          <w:szCs w:val="24"/>
        </w:rPr>
      </w:pPr>
      <w:r w:rsidRPr="009617E6">
        <w:rPr>
          <w:rFonts w:ascii="Times New Roman" w:eastAsia="Times New Roman" w:hAnsi="Times New Roman"/>
          <w:b/>
          <w:sz w:val="24"/>
          <w:szCs w:val="24"/>
        </w:rPr>
        <w:t xml:space="preserve">Boosting investment and </w:t>
      </w:r>
      <w:r>
        <w:rPr>
          <w:rFonts w:ascii="Times New Roman" w:eastAsia="Times New Roman" w:hAnsi="Times New Roman"/>
          <w:b/>
          <w:sz w:val="24"/>
          <w:szCs w:val="24"/>
        </w:rPr>
        <w:t xml:space="preserve">sustainable </w:t>
      </w:r>
      <w:r w:rsidRPr="009617E6">
        <w:rPr>
          <w:rFonts w:ascii="Times New Roman" w:eastAsia="Times New Roman" w:hAnsi="Times New Roman"/>
          <w:b/>
          <w:sz w:val="24"/>
          <w:szCs w:val="24"/>
        </w:rPr>
        <w:t xml:space="preserve">economic growth </w:t>
      </w:r>
      <w:r w:rsidRPr="009617E6">
        <w:rPr>
          <w:rFonts w:ascii="Times New Roman" w:eastAsia="Times New Roman" w:hAnsi="Times New Roman"/>
          <w:sz w:val="24"/>
          <w:szCs w:val="24"/>
        </w:rPr>
        <w:t xml:space="preserve">will only be possible if the </w:t>
      </w:r>
      <w:r>
        <w:rPr>
          <w:rFonts w:ascii="Times New Roman" w:eastAsia="Times New Roman" w:hAnsi="Times New Roman"/>
          <w:sz w:val="24"/>
          <w:szCs w:val="24"/>
        </w:rPr>
        <w:t>IPA III beneficiaries</w:t>
      </w:r>
      <w:r w:rsidRPr="009617E6">
        <w:rPr>
          <w:rFonts w:ascii="Times New Roman" w:eastAsia="Times New Roman" w:hAnsi="Times New Roman"/>
          <w:b/>
          <w:sz w:val="24"/>
          <w:szCs w:val="24"/>
        </w:rPr>
        <w:t xml:space="preserve"> firmly commit to and implement fundamental reforms based on </w:t>
      </w:r>
      <w:r>
        <w:rPr>
          <w:rFonts w:ascii="Times New Roman" w:eastAsia="Times New Roman" w:hAnsi="Times New Roman"/>
          <w:b/>
          <w:sz w:val="24"/>
          <w:szCs w:val="24"/>
        </w:rPr>
        <w:t>EU</w:t>
      </w:r>
      <w:r w:rsidRPr="009617E6">
        <w:rPr>
          <w:rFonts w:ascii="Times New Roman" w:eastAsia="Times New Roman" w:hAnsi="Times New Roman"/>
          <w:b/>
          <w:sz w:val="24"/>
          <w:szCs w:val="24"/>
        </w:rPr>
        <w:t xml:space="preserve"> values</w:t>
      </w:r>
      <w:r w:rsidR="0033538E">
        <w:rPr>
          <w:rFonts w:ascii="Times New Roman" w:eastAsia="Times New Roman" w:hAnsi="Times New Roman"/>
          <w:b/>
          <w:sz w:val="24"/>
          <w:szCs w:val="24"/>
        </w:rPr>
        <w:t xml:space="preserve"> and standards</w:t>
      </w:r>
      <w:r w:rsidRPr="009617E6">
        <w:rPr>
          <w:rFonts w:ascii="Times New Roman" w:eastAsia="Times New Roman" w:hAnsi="Times New Roman"/>
          <w:b/>
          <w:sz w:val="24"/>
          <w:szCs w:val="24"/>
        </w:rPr>
        <w:t xml:space="preserve">. </w:t>
      </w:r>
      <w:r w:rsidRPr="0094313B">
        <w:rPr>
          <w:rFonts w:ascii="Times New Roman" w:hAnsi="Times New Roman"/>
          <w:sz w:val="24"/>
          <w:szCs w:val="24"/>
        </w:rPr>
        <w:t xml:space="preserve">Whether strengthening the </w:t>
      </w:r>
      <w:r w:rsidRPr="002C1AAA">
        <w:rPr>
          <w:rFonts w:ascii="Times New Roman" w:hAnsi="Times New Roman"/>
          <w:b/>
          <w:sz w:val="24"/>
          <w:szCs w:val="24"/>
        </w:rPr>
        <w:t>rule of law</w:t>
      </w:r>
      <w:r>
        <w:rPr>
          <w:rFonts w:ascii="Times New Roman" w:hAnsi="Times New Roman"/>
          <w:sz w:val="24"/>
          <w:szCs w:val="24"/>
        </w:rPr>
        <w:t>,</w:t>
      </w:r>
      <w:r w:rsidRPr="0094313B">
        <w:rPr>
          <w:rFonts w:ascii="Times New Roman" w:hAnsi="Times New Roman"/>
          <w:sz w:val="24"/>
          <w:szCs w:val="24"/>
        </w:rPr>
        <w:t xml:space="preserve"> improving </w:t>
      </w:r>
      <w:r w:rsidRPr="002C1AAA">
        <w:rPr>
          <w:rFonts w:ascii="Times New Roman" w:hAnsi="Times New Roman"/>
          <w:b/>
          <w:sz w:val="24"/>
          <w:szCs w:val="24"/>
        </w:rPr>
        <w:t>public administration</w:t>
      </w:r>
      <w:r>
        <w:rPr>
          <w:rFonts w:ascii="Times New Roman" w:hAnsi="Times New Roman"/>
          <w:b/>
          <w:sz w:val="24"/>
          <w:szCs w:val="24"/>
        </w:rPr>
        <w:t xml:space="preserve"> </w:t>
      </w:r>
      <w:r>
        <w:rPr>
          <w:rFonts w:ascii="Times New Roman" w:hAnsi="Times New Roman"/>
          <w:sz w:val="24"/>
          <w:szCs w:val="24"/>
        </w:rPr>
        <w:t xml:space="preserve">(also digitally) or </w:t>
      </w:r>
      <w:r w:rsidRPr="0094313B">
        <w:rPr>
          <w:rFonts w:ascii="Times New Roman" w:hAnsi="Times New Roman"/>
          <w:sz w:val="24"/>
          <w:szCs w:val="24"/>
        </w:rPr>
        <w:t xml:space="preserve">structural </w:t>
      </w:r>
      <w:r w:rsidRPr="002C1AAA">
        <w:rPr>
          <w:rFonts w:ascii="Times New Roman" w:hAnsi="Times New Roman"/>
          <w:b/>
          <w:sz w:val="24"/>
          <w:szCs w:val="24"/>
        </w:rPr>
        <w:t>economic reforms</w:t>
      </w:r>
      <w:r w:rsidRPr="0094313B">
        <w:rPr>
          <w:rFonts w:ascii="Times New Roman" w:hAnsi="Times New Roman"/>
          <w:sz w:val="24"/>
          <w:szCs w:val="24"/>
        </w:rPr>
        <w:t>,</w:t>
      </w:r>
      <w:r>
        <w:rPr>
          <w:rFonts w:ascii="Times New Roman" w:hAnsi="Times New Roman"/>
          <w:sz w:val="24"/>
          <w:szCs w:val="24"/>
        </w:rPr>
        <w:t xml:space="preserve"> </w:t>
      </w:r>
      <w:r w:rsidRPr="0094313B">
        <w:rPr>
          <w:rFonts w:ascii="Times New Roman" w:hAnsi="Times New Roman"/>
          <w:sz w:val="24"/>
          <w:szCs w:val="24"/>
        </w:rPr>
        <w:t xml:space="preserve">these are essential for </w:t>
      </w:r>
      <w:r w:rsidRPr="0094313B">
        <w:rPr>
          <w:rFonts w:ascii="Times New Roman" w:eastAsia="Times New Roman" w:hAnsi="Times New Roman"/>
          <w:sz w:val="24"/>
          <w:szCs w:val="24"/>
        </w:rPr>
        <w:t>an environment favourable to entrepreneurship, job creation</w:t>
      </w:r>
      <w:r>
        <w:rPr>
          <w:rFonts w:ascii="Times New Roman" w:eastAsia="Times New Roman" w:hAnsi="Times New Roman"/>
          <w:sz w:val="24"/>
          <w:szCs w:val="24"/>
        </w:rPr>
        <w:t xml:space="preserve">, </w:t>
      </w:r>
      <w:r w:rsidRPr="0094313B">
        <w:rPr>
          <w:rFonts w:ascii="Times New Roman" w:eastAsia="Times New Roman" w:hAnsi="Times New Roman"/>
          <w:sz w:val="24"/>
          <w:szCs w:val="24"/>
        </w:rPr>
        <w:t>sustainable investment</w:t>
      </w:r>
      <w:r>
        <w:rPr>
          <w:rFonts w:ascii="Times New Roman" w:eastAsia="Times New Roman" w:hAnsi="Times New Roman"/>
          <w:sz w:val="24"/>
          <w:szCs w:val="24"/>
        </w:rPr>
        <w:t xml:space="preserve"> and wellbeing of the population</w:t>
      </w:r>
      <w:r w:rsidRPr="0094313B">
        <w:rPr>
          <w:rFonts w:ascii="Times New Roman" w:eastAsia="Times New Roman" w:hAnsi="Times New Roman"/>
          <w:sz w:val="24"/>
          <w:szCs w:val="24"/>
        </w:rPr>
        <w:t xml:space="preserve">. </w:t>
      </w:r>
      <w:r w:rsidRPr="009617E6">
        <w:rPr>
          <w:rFonts w:ascii="Times New Roman" w:eastAsia="Times New Roman" w:hAnsi="Times New Roman"/>
          <w:sz w:val="24"/>
          <w:szCs w:val="24"/>
        </w:rPr>
        <w:t>Citizens have a key interest in a functioning system of checks and balances</w:t>
      </w:r>
      <w:r>
        <w:rPr>
          <w:rFonts w:ascii="Times New Roman" w:eastAsia="Times New Roman" w:hAnsi="Times New Roman"/>
          <w:sz w:val="24"/>
          <w:szCs w:val="24"/>
        </w:rPr>
        <w:t xml:space="preserve"> and an independent judiciary</w:t>
      </w:r>
      <w:r w:rsidRPr="009617E6">
        <w:rPr>
          <w:rFonts w:ascii="Times New Roman" w:eastAsia="Times New Roman" w:hAnsi="Times New Roman"/>
          <w:sz w:val="24"/>
          <w:szCs w:val="24"/>
        </w:rPr>
        <w:t xml:space="preserve">. </w:t>
      </w:r>
      <w:r>
        <w:rPr>
          <w:rFonts w:ascii="Times New Roman" w:eastAsia="Times New Roman" w:hAnsi="Times New Roman"/>
          <w:sz w:val="24"/>
          <w:szCs w:val="24"/>
        </w:rPr>
        <w:t>People and b</w:t>
      </w:r>
      <w:r w:rsidRPr="009617E6">
        <w:rPr>
          <w:rFonts w:ascii="Times New Roman" w:eastAsia="Times New Roman" w:hAnsi="Times New Roman"/>
          <w:sz w:val="24"/>
          <w:szCs w:val="24"/>
        </w:rPr>
        <w:t xml:space="preserve">usinesses need legal certainty, absence of corruption and efficiently functioning administrations to </w:t>
      </w:r>
      <w:r>
        <w:rPr>
          <w:rFonts w:ascii="Times New Roman" w:eastAsia="Times New Roman" w:hAnsi="Times New Roman"/>
          <w:sz w:val="24"/>
          <w:szCs w:val="24"/>
        </w:rPr>
        <w:t xml:space="preserve">get good services, </w:t>
      </w:r>
      <w:r w:rsidRPr="009617E6">
        <w:rPr>
          <w:rFonts w:ascii="Times New Roman" w:eastAsia="Times New Roman" w:hAnsi="Times New Roman"/>
          <w:sz w:val="24"/>
          <w:szCs w:val="24"/>
        </w:rPr>
        <w:t>be able to set up their operations and rely on efficient and independent institutions to enforce their rights. Foreign investors need reassurances on a level playing field that will protect their investments. Alignment with the EU public procurement rules</w:t>
      </w:r>
      <w:r>
        <w:rPr>
          <w:rFonts w:ascii="Times New Roman" w:eastAsia="Times New Roman" w:hAnsi="Times New Roman"/>
          <w:sz w:val="24"/>
          <w:szCs w:val="24"/>
        </w:rPr>
        <w:t xml:space="preserve"> and enhanced transparency and oversight is key</w:t>
      </w:r>
      <w:r w:rsidRPr="009617E6">
        <w:rPr>
          <w:rFonts w:ascii="Times New Roman" w:eastAsia="Times New Roman" w:hAnsi="Times New Roman"/>
          <w:sz w:val="24"/>
          <w:szCs w:val="24"/>
        </w:rPr>
        <w:t xml:space="preserve">. A strategic approach towards effective dismantling of criminal organisations and their economic basis </w:t>
      </w:r>
      <w:r>
        <w:rPr>
          <w:rFonts w:ascii="Times New Roman" w:eastAsia="Times New Roman" w:hAnsi="Times New Roman"/>
          <w:sz w:val="24"/>
          <w:szCs w:val="24"/>
        </w:rPr>
        <w:t>needs</w:t>
      </w:r>
      <w:r w:rsidRPr="009617E6">
        <w:rPr>
          <w:rFonts w:ascii="Times New Roman" w:eastAsia="Times New Roman" w:hAnsi="Times New Roman"/>
          <w:sz w:val="24"/>
          <w:szCs w:val="24"/>
        </w:rPr>
        <w:t xml:space="preserve"> to be established, including improved results in financial investigations and asset confiscation.</w:t>
      </w:r>
      <w:r>
        <w:rPr>
          <w:rFonts w:ascii="Times New Roman" w:eastAsia="Times New Roman" w:hAnsi="Times New Roman"/>
          <w:sz w:val="24"/>
          <w:szCs w:val="24"/>
        </w:rPr>
        <w:t xml:space="preserve"> </w:t>
      </w:r>
    </w:p>
    <w:p w14:paraId="3150E67B" w14:textId="0F8F8FB9" w:rsidR="005739B7" w:rsidRDefault="005739B7" w:rsidP="005739B7">
      <w:pPr>
        <w:spacing w:after="120" w:line="240" w:lineRule="auto"/>
        <w:jc w:val="both"/>
        <w:rPr>
          <w:rFonts w:ascii="Times New Roman" w:hAnsi="Times New Roman" w:cs="Times New Roman"/>
          <w:sz w:val="24"/>
          <w:szCs w:val="24"/>
        </w:rPr>
      </w:pPr>
      <w:r w:rsidRPr="36BE81E9">
        <w:rPr>
          <w:rFonts w:ascii="Times New Roman" w:eastAsia="Times New Roman" w:hAnsi="Times New Roman" w:cs="Times New Roman"/>
          <w:sz w:val="24"/>
          <w:szCs w:val="24"/>
        </w:rPr>
        <w:t xml:space="preserve">In the EU, the Western Balkans and Turkey alike, </w:t>
      </w:r>
      <w:r w:rsidRPr="36BE81E9">
        <w:rPr>
          <w:rFonts w:ascii="Times New Roman" w:hAnsi="Times New Roman" w:cs="Times New Roman"/>
          <w:sz w:val="24"/>
          <w:szCs w:val="24"/>
        </w:rPr>
        <w:t>the post-COVID</w:t>
      </w:r>
      <w:r>
        <w:rPr>
          <w:rFonts w:ascii="Times New Roman" w:hAnsi="Times New Roman" w:cs="Times New Roman"/>
          <w:sz w:val="24"/>
          <w:szCs w:val="24"/>
        </w:rPr>
        <w:t>-19</w:t>
      </w:r>
      <w:r w:rsidRPr="36BE81E9">
        <w:rPr>
          <w:rFonts w:ascii="Times New Roman" w:hAnsi="Times New Roman" w:cs="Times New Roman"/>
          <w:sz w:val="24"/>
          <w:szCs w:val="24"/>
        </w:rPr>
        <w:t xml:space="preserve"> economic recovery and the </w:t>
      </w:r>
      <w:r w:rsidRPr="00CF23EA">
        <w:rPr>
          <w:rFonts w:ascii="Times New Roman" w:hAnsi="Times New Roman" w:cs="Times New Roman"/>
          <w:b/>
          <w:sz w:val="24"/>
          <w:szCs w:val="24"/>
        </w:rPr>
        <w:t xml:space="preserve">transition to a sustainable, socially just, </w:t>
      </w:r>
      <w:r w:rsidR="001B66A3">
        <w:rPr>
          <w:rFonts w:ascii="Times New Roman" w:hAnsi="Times New Roman" w:cs="Times New Roman"/>
          <w:b/>
          <w:sz w:val="24"/>
          <w:szCs w:val="24"/>
        </w:rPr>
        <w:t xml:space="preserve">digital, </w:t>
      </w:r>
      <w:r w:rsidRPr="00CF23EA">
        <w:rPr>
          <w:rFonts w:ascii="Times New Roman" w:hAnsi="Times New Roman" w:cs="Times New Roman"/>
          <w:b/>
          <w:sz w:val="24"/>
          <w:szCs w:val="24"/>
        </w:rPr>
        <w:t>resilient</w:t>
      </w:r>
      <w:r w:rsidR="00AB7DB7">
        <w:rPr>
          <w:rFonts w:ascii="Times New Roman" w:hAnsi="Times New Roman" w:cs="Times New Roman"/>
          <w:b/>
          <w:sz w:val="24"/>
          <w:szCs w:val="24"/>
        </w:rPr>
        <w:t>,</w:t>
      </w:r>
      <w:r w:rsidRPr="00CF23EA">
        <w:rPr>
          <w:rFonts w:ascii="Times New Roman" w:hAnsi="Times New Roman" w:cs="Times New Roman"/>
          <w:b/>
          <w:sz w:val="24"/>
          <w:szCs w:val="24"/>
        </w:rPr>
        <w:t xml:space="preserve"> and climate neutral economy</w:t>
      </w:r>
      <w:r w:rsidRPr="36BE81E9">
        <w:rPr>
          <w:rFonts w:ascii="Times New Roman" w:hAnsi="Times New Roman" w:cs="Times New Roman"/>
          <w:sz w:val="24"/>
          <w:szCs w:val="24"/>
        </w:rPr>
        <w:t xml:space="preserve"> should go hand in hand. The </w:t>
      </w:r>
      <w:r w:rsidR="000B2C57">
        <w:rPr>
          <w:rFonts w:ascii="Times New Roman" w:hAnsi="Times New Roman" w:cs="Times New Roman"/>
          <w:sz w:val="24"/>
          <w:szCs w:val="24"/>
        </w:rPr>
        <w:t>R</w:t>
      </w:r>
      <w:r w:rsidRPr="36BE81E9">
        <w:rPr>
          <w:rFonts w:ascii="Times New Roman" w:hAnsi="Times New Roman" w:cs="Times New Roman"/>
          <w:sz w:val="24"/>
          <w:szCs w:val="24"/>
        </w:rPr>
        <w:t>egulation sets out that actions funded through IPA III are expected to contribute to the Union’s efforts to mainstr</w:t>
      </w:r>
      <w:r>
        <w:rPr>
          <w:rFonts w:ascii="Times New Roman" w:hAnsi="Times New Roman" w:cs="Times New Roman"/>
          <w:sz w:val="24"/>
          <w:szCs w:val="24"/>
        </w:rPr>
        <w:t>eam climate action</w:t>
      </w:r>
      <w:r w:rsidR="001B464A">
        <w:rPr>
          <w:rFonts w:ascii="Times New Roman" w:hAnsi="Times New Roman" w:cs="Times New Roman"/>
          <w:sz w:val="24"/>
          <w:szCs w:val="24"/>
        </w:rPr>
        <w:t>. In particular, IPA III</w:t>
      </w:r>
      <w:r w:rsidR="001B464A" w:rsidRPr="001B464A">
        <w:rPr>
          <w:rFonts w:ascii="Times New Roman" w:hAnsi="Times New Roman" w:cs="Times New Roman"/>
          <w:sz w:val="24"/>
          <w:szCs w:val="24"/>
        </w:rPr>
        <w:t xml:space="preserve"> </w:t>
      </w:r>
      <w:r w:rsidR="001B464A">
        <w:rPr>
          <w:rFonts w:ascii="Times New Roman" w:hAnsi="Times New Roman" w:cs="Times New Roman"/>
          <w:sz w:val="24"/>
          <w:szCs w:val="24"/>
        </w:rPr>
        <w:t>is</w:t>
      </w:r>
      <w:r w:rsidR="001B464A" w:rsidRPr="001B464A">
        <w:rPr>
          <w:rFonts w:ascii="Times New Roman" w:hAnsi="Times New Roman" w:cs="Times New Roman"/>
          <w:sz w:val="24"/>
          <w:szCs w:val="24"/>
        </w:rPr>
        <w:t xml:space="preserve"> expected to contribute 18 % of </w:t>
      </w:r>
      <w:r w:rsidR="001B464A">
        <w:rPr>
          <w:rFonts w:ascii="Times New Roman" w:hAnsi="Times New Roman" w:cs="Times New Roman"/>
          <w:sz w:val="24"/>
          <w:szCs w:val="24"/>
        </w:rPr>
        <w:t>its</w:t>
      </w:r>
      <w:r w:rsidR="001B464A" w:rsidRPr="001B464A">
        <w:rPr>
          <w:rFonts w:ascii="Times New Roman" w:hAnsi="Times New Roman" w:cs="Times New Roman"/>
          <w:sz w:val="24"/>
          <w:szCs w:val="24"/>
        </w:rPr>
        <w:t xml:space="preserve"> overall financial envelope to climate objectives, with the objective to increase this percentage to 20% by 2027.</w:t>
      </w:r>
      <w:r w:rsidR="001B464A">
        <w:rPr>
          <w:rFonts w:ascii="Times New Roman" w:hAnsi="Times New Roman" w:cs="Times New Roman"/>
          <w:sz w:val="24"/>
          <w:szCs w:val="24"/>
        </w:rPr>
        <w:t xml:space="preserve"> In order to achieve these objectives, one of the</w:t>
      </w:r>
      <w:r w:rsidRPr="36BE81E9">
        <w:rPr>
          <w:rFonts w:ascii="Times New Roman" w:hAnsi="Times New Roman" w:cs="Times New Roman"/>
          <w:sz w:val="24"/>
          <w:szCs w:val="24"/>
        </w:rPr>
        <w:t xml:space="preserve"> thematic windows (Window 3</w:t>
      </w:r>
      <w:r w:rsidR="001B464A">
        <w:rPr>
          <w:rFonts w:ascii="Times New Roman" w:hAnsi="Times New Roman" w:cs="Times New Roman"/>
          <w:sz w:val="24"/>
          <w:szCs w:val="24"/>
        </w:rPr>
        <w:t>)</w:t>
      </w:r>
      <w:r w:rsidRPr="36BE81E9">
        <w:rPr>
          <w:rFonts w:ascii="Times New Roman" w:hAnsi="Times New Roman" w:cs="Times New Roman"/>
          <w:sz w:val="24"/>
          <w:szCs w:val="24"/>
        </w:rPr>
        <w:t xml:space="preserve"> </w:t>
      </w:r>
      <w:r w:rsidR="001B464A">
        <w:rPr>
          <w:rFonts w:ascii="Times New Roman" w:hAnsi="Times New Roman" w:cs="Times New Roman"/>
          <w:sz w:val="24"/>
          <w:szCs w:val="24"/>
        </w:rPr>
        <w:t>is</w:t>
      </w:r>
      <w:r w:rsidR="001B464A" w:rsidRPr="36BE81E9">
        <w:rPr>
          <w:rFonts w:ascii="Times New Roman" w:hAnsi="Times New Roman" w:cs="Times New Roman"/>
          <w:sz w:val="24"/>
          <w:szCs w:val="24"/>
        </w:rPr>
        <w:t xml:space="preserve"> </w:t>
      </w:r>
      <w:r w:rsidRPr="36BE81E9">
        <w:rPr>
          <w:rFonts w:ascii="Times New Roman" w:hAnsi="Times New Roman" w:cs="Times New Roman"/>
          <w:sz w:val="24"/>
          <w:szCs w:val="24"/>
        </w:rPr>
        <w:t>dedicated to sustainable connectivity and the green agenda</w:t>
      </w:r>
      <w:r w:rsidR="001B464A">
        <w:rPr>
          <w:rFonts w:ascii="Times New Roman" w:hAnsi="Times New Roman" w:cs="Times New Roman"/>
          <w:sz w:val="24"/>
          <w:szCs w:val="24"/>
        </w:rPr>
        <w:t xml:space="preserve"> </w:t>
      </w:r>
      <w:r w:rsidR="00F03DAA">
        <w:rPr>
          <w:rFonts w:ascii="Times New Roman" w:hAnsi="Times New Roman" w:cs="Times New Roman"/>
          <w:sz w:val="24"/>
          <w:szCs w:val="24"/>
        </w:rPr>
        <w:t>while</w:t>
      </w:r>
      <w:r w:rsidRPr="36BE81E9">
        <w:rPr>
          <w:rFonts w:ascii="Times New Roman" w:hAnsi="Times New Roman" w:cs="Times New Roman"/>
          <w:sz w:val="24"/>
          <w:szCs w:val="24"/>
        </w:rPr>
        <w:t xml:space="preserve"> climate, environment and climate-related energy considerations</w:t>
      </w:r>
      <w:r w:rsidR="001B464A">
        <w:rPr>
          <w:rFonts w:ascii="Times New Roman" w:hAnsi="Times New Roman" w:cs="Times New Roman"/>
          <w:sz w:val="24"/>
          <w:szCs w:val="24"/>
        </w:rPr>
        <w:t xml:space="preserve"> will be</w:t>
      </w:r>
      <w:r w:rsidR="001B464A" w:rsidRPr="36BE81E9">
        <w:rPr>
          <w:rFonts w:ascii="Times New Roman" w:hAnsi="Times New Roman" w:cs="Times New Roman"/>
          <w:sz w:val="24"/>
          <w:szCs w:val="24"/>
        </w:rPr>
        <w:t xml:space="preserve"> mainstream</w:t>
      </w:r>
      <w:r w:rsidR="001B464A">
        <w:rPr>
          <w:rFonts w:ascii="Times New Roman" w:hAnsi="Times New Roman" w:cs="Times New Roman"/>
          <w:sz w:val="24"/>
          <w:szCs w:val="24"/>
        </w:rPr>
        <w:t>ed</w:t>
      </w:r>
      <w:r w:rsidR="001B464A" w:rsidRPr="36BE81E9">
        <w:rPr>
          <w:rFonts w:ascii="Times New Roman" w:hAnsi="Times New Roman" w:cs="Times New Roman"/>
          <w:sz w:val="24"/>
          <w:szCs w:val="24"/>
        </w:rPr>
        <w:t xml:space="preserve"> </w:t>
      </w:r>
      <w:r w:rsidRPr="36BE81E9">
        <w:rPr>
          <w:rFonts w:ascii="Times New Roman" w:hAnsi="Times New Roman" w:cs="Times New Roman"/>
          <w:sz w:val="24"/>
          <w:szCs w:val="24"/>
        </w:rPr>
        <w:t xml:space="preserve">in all windows. The </w:t>
      </w:r>
      <w:r>
        <w:rPr>
          <w:rFonts w:ascii="Times New Roman" w:hAnsi="Times New Roman" w:cs="Times New Roman"/>
          <w:sz w:val="24"/>
          <w:szCs w:val="24"/>
        </w:rPr>
        <w:t xml:space="preserve">European </w:t>
      </w:r>
      <w:r w:rsidRPr="36BE81E9">
        <w:rPr>
          <w:rFonts w:ascii="Times New Roman" w:hAnsi="Times New Roman" w:cs="Times New Roman"/>
          <w:sz w:val="24"/>
          <w:szCs w:val="24"/>
        </w:rPr>
        <w:t xml:space="preserve">Green Deal - being the first political priority of the European Commission – </w:t>
      </w:r>
      <w:r w:rsidR="00F03DAA">
        <w:rPr>
          <w:rFonts w:ascii="Times New Roman" w:hAnsi="Times New Roman" w:cs="Times New Roman"/>
          <w:sz w:val="24"/>
          <w:szCs w:val="24"/>
        </w:rPr>
        <w:t>is</w:t>
      </w:r>
      <w:r w:rsidRPr="36BE81E9">
        <w:rPr>
          <w:rFonts w:ascii="Times New Roman" w:hAnsi="Times New Roman" w:cs="Times New Roman"/>
          <w:sz w:val="24"/>
          <w:szCs w:val="24"/>
        </w:rPr>
        <w:t xml:space="preserve"> the strategic reference for the Green </w:t>
      </w:r>
      <w:r>
        <w:rPr>
          <w:rFonts w:ascii="Times New Roman" w:hAnsi="Times New Roman" w:cs="Times New Roman"/>
          <w:sz w:val="24"/>
          <w:szCs w:val="24"/>
        </w:rPr>
        <w:t>A</w:t>
      </w:r>
      <w:r w:rsidRPr="36BE81E9">
        <w:rPr>
          <w:rFonts w:ascii="Times New Roman" w:hAnsi="Times New Roman" w:cs="Times New Roman"/>
          <w:sz w:val="24"/>
          <w:szCs w:val="24"/>
        </w:rPr>
        <w:t xml:space="preserve">genda, in </w:t>
      </w:r>
      <w:r w:rsidRPr="36BE81E9">
        <w:rPr>
          <w:rFonts w:ascii="Times New Roman" w:hAnsi="Times New Roman" w:cs="Times New Roman"/>
          <w:sz w:val="24"/>
          <w:szCs w:val="24"/>
        </w:rPr>
        <w:lastRenderedPageBreak/>
        <w:t>order to support the just transition in IPA beneficiaries towards a circular, climate resilient and low carbon economy</w:t>
      </w:r>
      <w:r>
        <w:rPr>
          <w:rFonts w:ascii="Times New Roman" w:hAnsi="Times New Roman" w:cs="Times New Roman"/>
          <w:sz w:val="24"/>
          <w:szCs w:val="24"/>
        </w:rPr>
        <w:t>. An economy where growth is decoupled from emissions of greenhouse gases, resource use and waste generation, where climate resilience is pursued, and where green transition is done in a way that is just and leaves no one and no place behind. In the Western Balkans, the guidelines for the implementation of the five pillars of the Green Agenda</w:t>
      </w:r>
      <w:r w:rsidR="00BB384F">
        <w:rPr>
          <w:rFonts w:ascii="Times New Roman" w:hAnsi="Times New Roman" w:cs="Times New Roman"/>
          <w:sz w:val="24"/>
          <w:szCs w:val="24"/>
        </w:rPr>
        <w:t xml:space="preserve"> </w:t>
      </w:r>
      <w:r>
        <w:rPr>
          <w:rFonts w:ascii="Times New Roman" w:hAnsi="Times New Roman" w:cs="Times New Roman"/>
          <w:sz w:val="24"/>
          <w:szCs w:val="24"/>
        </w:rPr>
        <w:t xml:space="preserve">will serve as guiding reference for the deployment of IPA III support. </w:t>
      </w:r>
    </w:p>
    <w:p w14:paraId="07A6C66B" w14:textId="08A160A8" w:rsidR="005739B7" w:rsidRPr="00B65C9D" w:rsidRDefault="005739B7" w:rsidP="005739B7">
      <w:pPr>
        <w:spacing w:after="120" w:line="240" w:lineRule="auto"/>
        <w:jc w:val="both"/>
        <w:rPr>
          <w:rFonts w:ascii="Times New Roman" w:hAnsi="Times New Roman" w:cs="Times New Roman"/>
          <w:sz w:val="24"/>
          <w:szCs w:val="24"/>
        </w:rPr>
      </w:pPr>
      <w:r w:rsidRPr="007C66D8">
        <w:rPr>
          <w:rFonts w:ascii="Times New Roman" w:hAnsi="Times New Roman" w:cs="Times New Roman"/>
          <w:sz w:val="24"/>
          <w:szCs w:val="24"/>
        </w:rPr>
        <w:t xml:space="preserve">In the same vein, the </w:t>
      </w:r>
      <w:r>
        <w:rPr>
          <w:rFonts w:ascii="Times New Roman" w:hAnsi="Times New Roman" w:cs="Times New Roman"/>
          <w:sz w:val="24"/>
          <w:szCs w:val="24"/>
        </w:rPr>
        <w:t>IPA III beneficiaries</w:t>
      </w:r>
      <w:r w:rsidRPr="007C66D8">
        <w:rPr>
          <w:rFonts w:ascii="Times New Roman" w:hAnsi="Times New Roman" w:cs="Times New Roman"/>
          <w:sz w:val="24"/>
          <w:szCs w:val="24"/>
        </w:rPr>
        <w:t xml:space="preserve"> shoul</w:t>
      </w:r>
      <w:r>
        <w:rPr>
          <w:rFonts w:ascii="Times New Roman" w:hAnsi="Times New Roman" w:cs="Times New Roman"/>
          <w:sz w:val="24"/>
          <w:szCs w:val="24"/>
        </w:rPr>
        <w:t xml:space="preserve">d use the EU’s </w:t>
      </w:r>
      <w:r w:rsidR="001B66A3">
        <w:rPr>
          <w:rFonts w:ascii="Times New Roman" w:hAnsi="Times New Roman" w:cs="Times New Roman"/>
          <w:sz w:val="24"/>
          <w:szCs w:val="24"/>
        </w:rPr>
        <w:t>D</w:t>
      </w:r>
      <w:r>
        <w:rPr>
          <w:rFonts w:ascii="Times New Roman" w:hAnsi="Times New Roman" w:cs="Times New Roman"/>
          <w:sz w:val="24"/>
          <w:szCs w:val="24"/>
        </w:rPr>
        <w:t xml:space="preserve">igital </w:t>
      </w:r>
      <w:r w:rsidR="001B66A3">
        <w:rPr>
          <w:rFonts w:ascii="Times New Roman" w:hAnsi="Times New Roman" w:cs="Times New Roman"/>
          <w:sz w:val="24"/>
          <w:szCs w:val="24"/>
        </w:rPr>
        <w:t xml:space="preserve">Compass Communication </w:t>
      </w:r>
      <w:r w:rsidR="00091B11">
        <w:rPr>
          <w:rFonts w:ascii="Times New Roman" w:hAnsi="Times New Roman" w:cs="Times New Roman"/>
          <w:sz w:val="24"/>
          <w:szCs w:val="24"/>
        </w:rPr>
        <w:t>of March 2021</w:t>
      </w:r>
      <w:r>
        <w:rPr>
          <w:rStyle w:val="DipnotBavurusu"/>
          <w:rFonts w:ascii="Times New Roman" w:hAnsi="Times New Roman" w:cs="Times New Roman"/>
          <w:sz w:val="24"/>
          <w:szCs w:val="24"/>
        </w:rPr>
        <w:footnoteReference w:id="11"/>
      </w:r>
      <w:r>
        <w:rPr>
          <w:rFonts w:ascii="Times New Roman" w:hAnsi="Times New Roman" w:cs="Times New Roman"/>
          <w:sz w:val="24"/>
          <w:szCs w:val="24"/>
        </w:rPr>
        <w:t xml:space="preserve"> </w:t>
      </w:r>
      <w:r w:rsidRPr="007C66D8">
        <w:rPr>
          <w:rFonts w:ascii="Times New Roman" w:hAnsi="Times New Roman" w:cs="Times New Roman"/>
          <w:sz w:val="24"/>
          <w:szCs w:val="24"/>
        </w:rPr>
        <w:t>as the guiding</w:t>
      </w:r>
      <w:r>
        <w:rPr>
          <w:rFonts w:ascii="Times New Roman" w:hAnsi="Times New Roman" w:cs="Times New Roman"/>
          <w:sz w:val="24"/>
          <w:szCs w:val="24"/>
        </w:rPr>
        <w:t xml:space="preserve"> </w:t>
      </w:r>
      <w:r w:rsidRPr="007C66D8">
        <w:rPr>
          <w:rFonts w:ascii="Times New Roman" w:hAnsi="Times New Roman" w:cs="Times New Roman"/>
          <w:sz w:val="24"/>
          <w:szCs w:val="24"/>
        </w:rPr>
        <w:t>principle for a human-centric digital transformation of their economies and societies. This</w:t>
      </w:r>
      <w:r>
        <w:rPr>
          <w:rFonts w:ascii="Times New Roman" w:hAnsi="Times New Roman" w:cs="Times New Roman"/>
          <w:sz w:val="24"/>
          <w:szCs w:val="24"/>
        </w:rPr>
        <w:t xml:space="preserve"> </w:t>
      </w:r>
      <w:r w:rsidRPr="007C66D8">
        <w:rPr>
          <w:rFonts w:ascii="Times New Roman" w:hAnsi="Times New Roman" w:cs="Times New Roman"/>
          <w:sz w:val="24"/>
          <w:szCs w:val="24"/>
        </w:rPr>
        <w:t xml:space="preserve">will </w:t>
      </w:r>
      <w:r w:rsidR="00F03DAA">
        <w:rPr>
          <w:rFonts w:ascii="Times New Roman" w:hAnsi="Times New Roman" w:cs="Times New Roman"/>
          <w:sz w:val="24"/>
          <w:szCs w:val="24"/>
        </w:rPr>
        <w:t>render</w:t>
      </w:r>
      <w:r w:rsidR="00F03DAA" w:rsidRPr="007C66D8">
        <w:rPr>
          <w:rFonts w:ascii="Times New Roman" w:hAnsi="Times New Roman" w:cs="Times New Roman"/>
          <w:sz w:val="24"/>
          <w:szCs w:val="24"/>
        </w:rPr>
        <w:t xml:space="preserve"> </w:t>
      </w:r>
      <w:r w:rsidRPr="007C66D8">
        <w:rPr>
          <w:rFonts w:ascii="Times New Roman" w:hAnsi="Times New Roman" w:cs="Times New Roman"/>
          <w:sz w:val="24"/>
          <w:szCs w:val="24"/>
        </w:rPr>
        <w:t>them better positioned to integrate into the EU’s higher added-value supply chains</w:t>
      </w:r>
      <w:r>
        <w:rPr>
          <w:rFonts w:ascii="Times New Roman" w:hAnsi="Times New Roman" w:cs="Times New Roman"/>
          <w:sz w:val="24"/>
          <w:szCs w:val="24"/>
        </w:rPr>
        <w:t xml:space="preserve"> </w:t>
      </w:r>
      <w:r w:rsidRPr="007C66D8">
        <w:rPr>
          <w:rFonts w:ascii="Times New Roman" w:hAnsi="Times New Roman" w:cs="Times New Roman"/>
          <w:sz w:val="24"/>
          <w:szCs w:val="24"/>
        </w:rPr>
        <w:t>and, in the future, join a rapidly evolving EU digital single market</w:t>
      </w:r>
      <w:r w:rsidR="001B66A3">
        <w:rPr>
          <w:rFonts w:ascii="Times New Roman" w:hAnsi="Times New Roman" w:cs="Times New Roman"/>
          <w:sz w:val="24"/>
          <w:szCs w:val="24"/>
        </w:rPr>
        <w:t>. To avoid that the digital gap between the EU and the Western Balkans and Turkey grows even further in the post-C</w:t>
      </w:r>
      <w:r w:rsidR="00091B11">
        <w:rPr>
          <w:rFonts w:ascii="Times New Roman" w:hAnsi="Times New Roman" w:cs="Times New Roman"/>
          <w:sz w:val="24"/>
          <w:szCs w:val="24"/>
        </w:rPr>
        <w:t>OVID-19</w:t>
      </w:r>
      <w:r w:rsidR="001B66A3">
        <w:rPr>
          <w:rFonts w:ascii="Times New Roman" w:hAnsi="Times New Roman" w:cs="Times New Roman"/>
          <w:sz w:val="24"/>
          <w:szCs w:val="24"/>
        </w:rPr>
        <w:t xml:space="preserve"> era, the programming of IPA </w:t>
      </w:r>
      <w:r w:rsidR="00091B11">
        <w:rPr>
          <w:rFonts w:ascii="Times New Roman" w:hAnsi="Times New Roman" w:cs="Times New Roman"/>
          <w:sz w:val="24"/>
          <w:szCs w:val="24"/>
        </w:rPr>
        <w:t>may be inspired by</w:t>
      </w:r>
      <w:r w:rsidR="001B66A3">
        <w:rPr>
          <w:rFonts w:ascii="Times New Roman" w:hAnsi="Times New Roman" w:cs="Times New Roman"/>
          <w:sz w:val="24"/>
          <w:szCs w:val="24"/>
        </w:rPr>
        <w:t xml:space="preserve"> the EU’s objectives and targets in the Recovery and Resilience Facility, which allocates 20% of the funds to digital transformation.</w:t>
      </w:r>
    </w:p>
    <w:p w14:paraId="2416A029" w14:textId="77777777"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 line with the approach outlined in the EU Gender Action Plan,</w:t>
      </w:r>
      <w:r>
        <w:rPr>
          <w:rFonts w:ascii="Times New Roman" w:hAnsi="Times New Roman" w:cs="Times New Roman"/>
          <w:sz w:val="24"/>
          <w:szCs w:val="24"/>
        </w:rPr>
        <w:t xml:space="preserve"> </w:t>
      </w:r>
      <w:r w:rsidRPr="36BE81E9">
        <w:rPr>
          <w:rFonts w:ascii="Times New Roman" w:hAnsi="Times New Roman" w:cs="Times New Roman"/>
          <w:sz w:val="24"/>
          <w:szCs w:val="24"/>
        </w:rPr>
        <w:t>(GAP II</w:t>
      </w:r>
      <w:r>
        <w:rPr>
          <w:rFonts w:ascii="Times New Roman" w:hAnsi="Times New Roman" w:cs="Times New Roman"/>
          <w:sz w:val="24"/>
          <w:szCs w:val="24"/>
        </w:rPr>
        <w:t>I</w:t>
      </w:r>
      <w:r w:rsidRPr="36BE81E9">
        <w:rPr>
          <w:rFonts w:ascii="Times New Roman" w:hAnsi="Times New Roman" w:cs="Times New Roman"/>
          <w:sz w:val="24"/>
          <w:szCs w:val="24"/>
        </w:rPr>
        <w:t>)</w:t>
      </w:r>
      <w:r>
        <w:rPr>
          <w:rFonts w:ascii="Times New Roman" w:hAnsi="Times New Roman" w:cs="Times New Roman"/>
          <w:sz w:val="24"/>
          <w:szCs w:val="24"/>
        </w:rPr>
        <w:t xml:space="preserve"> </w:t>
      </w:r>
      <w:r w:rsidRPr="36BE81E9">
        <w:rPr>
          <w:rFonts w:ascii="Times New Roman" w:hAnsi="Times New Roman" w:cs="Times New Roman"/>
          <w:sz w:val="24"/>
          <w:szCs w:val="24"/>
        </w:rPr>
        <w:t>20</w:t>
      </w:r>
      <w:r>
        <w:rPr>
          <w:rFonts w:ascii="Times New Roman" w:hAnsi="Times New Roman" w:cs="Times New Roman"/>
          <w:sz w:val="24"/>
          <w:szCs w:val="24"/>
        </w:rPr>
        <w:t>21</w:t>
      </w:r>
      <w:r w:rsidRPr="36BE81E9">
        <w:rPr>
          <w:rFonts w:ascii="Times New Roman" w:hAnsi="Times New Roman" w:cs="Times New Roman"/>
          <w:sz w:val="24"/>
          <w:szCs w:val="24"/>
        </w:rPr>
        <w:t>-202</w:t>
      </w:r>
      <w:r>
        <w:rPr>
          <w:rFonts w:ascii="Times New Roman" w:hAnsi="Times New Roman" w:cs="Times New Roman"/>
          <w:sz w:val="24"/>
          <w:szCs w:val="24"/>
        </w:rPr>
        <w:t>5</w:t>
      </w:r>
      <w:r w:rsidRPr="36BE81E9">
        <w:rPr>
          <w:rFonts w:ascii="Times New Roman" w:hAnsi="Times New Roman" w:cs="Times New Roman"/>
          <w:sz w:val="24"/>
          <w:szCs w:val="24"/>
        </w:rPr>
        <w:t>, IPA III will mainstream gender equality and</w:t>
      </w:r>
      <w:r>
        <w:rPr>
          <w:rFonts w:ascii="Times New Roman" w:hAnsi="Times New Roman" w:cs="Times New Roman"/>
          <w:sz w:val="24"/>
          <w:szCs w:val="24"/>
        </w:rPr>
        <w:t xml:space="preserve"> </w:t>
      </w:r>
      <w:r w:rsidRPr="36BE81E9">
        <w:rPr>
          <w:rFonts w:ascii="Times New Roman" w:hAnsi="Times New Roman" w:cs="Times New Roman"/>
          <w:sz w:val="24"/>
          <w:szCs w:val="24"/>
        </w:rPr>
        <w:t>also continue ensuring girls' and women's physical and psychological integrity, promoting the economic and social rights and strengthening girls' and women's voice and participation with targeted actions.</w:t>
      </w:r>
    </w:p>
    <w:p w14:paraId="130AFB98" w14:textId="64C37183"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At the global level, the 2030 Agenda for Sustainable Development</w:t>
      </w:r>
      <w:r w:rsidR="005E1C9E">
        <w:rPr>
          <w:rStyle w:val="DipnotBavurusu"/>
          <w:rFonts w:ascii="Times New Roman" w:hAnsi="Times New Roman" w:cs="Times New Roman"/>
          <w:sz w:val="24"/>
          <w:szCs w:val="24"/>
        </w:rPr>
        <w:footnoteReference w:id="12"/>
      </w:r>
      <w:r w:rsidRPr="36BE81E9">
        <w:rPr>
          <w:rFonts w:ascii="Times New Roman" w:hAnsi="Times New Roman" w:cs="Times New Roman"/>
          <w:sz w:val="24"/>
          <w:szCs w:val="24"/>
        </w:rPr>
        <w:t xml:space="preserve"> represents the umbrella strategy to achieve a more sustainable future for the planet and to eradicate poverty and is fully embedded in the EU’s policy framework. As such, the Sustainable Development Goals (SDGs) represent for the beneficiaries both a direct commitment taken at multilateral level and an additional requirement to converge on the EU policy framework in the accession process. In this context, IPA-funded activities will be consistent with and supportive of the beneficiaries’ undertakings for their achievements.</w:t>
      </w:r>
    </w:p>
    <w:p w14:paraId="2762C0A0" w14:textId="77777777" w:rsidR="005739B7" w:rsidRPr="009B575D" w:rsidRDefault="005739B7" w:rsidP="005739B7">
      <w:pPr>
        <w:spacing w:after="120" w:line="240" w:lineRule="auto"/>
        <w:jc w:val="both"/>
        <w:rPr>
          <w:rFonts w:ascii="Times New Roman" w:hAnsi="Times New Roman" w:cs="Times New Roman"/>
          <w:b/>
          <w:bCs/>
          <w:i/>
          <w:iCs/>
          <w:sz w:val="24"/>
          <w:szCs w:val="24"/>
          <w:u w:val="single"/>
        </w:rPr>
      </w:pPr>
      <w:r w:rsidRPr="36BE81E9">
        <w:rPr>
          <w:rFonts w:ascii="Times New Roman" w:hAnsi="Times New Roman" w:cs="Times New Roman"/>
          <w:b/>
          <w:bCs/>
          <w:i/>
          <w:iCs/>
          <w:sz w:val="24"/>
          <w:szCs w:val="24"/>
          <w:u w:val="single"/>
        </w:rPr>
        <w:t>IPA</w:t>
      </w:r>
      <w:r>
        <w:rPr>
          <w:rFonts w:ascii="Times New Roman" w:hAnsi="Times New Roman" w:cs="Times New Roman"/>
          <w:b/>
          <w:bCs/>
          <w:i/>
          <w:iCs/>
          <w:sz w:val="24"/>
          <w:szCs w:val="24"/>
          <w:u w:val="single"/>
        </w:rPr>
        <w:t xml:space="preserve"> </w:t>
      </w:r>
      <w:r w:rsidRPr="36BE81E9">
        <w:rPr>
          <w:rFonts w:ascii="Times New Roman" w:hAnsi="Times New Roman" w:cs="Times New Roman"/>
          <w:b/>
          <w:bCs/>
          <w:i/>
          <w:iCs/>
          <w:sz w:val="24"/>
          <w:szCs w:val="24"/>
          <w:u w:val="single"/>
        </w:rPr>
        <w:t>III objectives and thematic windows</w:t>
      </w:r>
    </w:p>
    <w:p w14:paraId="12847BC4" w14:textId="3FAF719D"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Article 3 of the IPA III </w:t>
      </w:r>
      <w:r w:rsidR="00091B11">
        <w:rPr>
          <w:rFonts w:ascii="Times New Roman" w:hAnsi="Times New Roman" w:cs="Times New Roman"/>
          <w:sz w:val="24"/>
          <w:szCs w:val="24"/>
        </w:rPr>
        <w:t>R</w:t>
      </w:r>
      <w:r w:rsidRPr="36BE81E9">
        <w:rPr>
          <w:rFonts w:ascii="Times New Roman" w:hAnsi="Times New Roman" w:cs="Times New Roman"/>
          <w:sz w:val="24"/>
          <w:szCs w:val="24"/>
        </w:rPr>
        <w:t xml:space="preserve">egulation outlines the general and specific objectives of the instrument. Annex II of the IPA III </w:t>
      </w:r>
      <w:r w:rsidR="00091B11">
        <w:rPr>
          <w:rFonts w:ascii="Times New Roman" w:hAnsi="Times New Roman" w:cs="Times New Roman"/>
          <w:sz w:val="24"/>
          <w:szCs w:val="24"/>
        </w:rPr>
        <w:t>R</w:t>
      </w:r>
      <w:r w:rsidRPr="36BE81E9">
        <w:rPr>
          <w:rFonts w:ascii="Times New Roman" w:hAnsi="Times New Roman" w:cs="Times New Roman"/>
          <w:sz w:val="24"/>
          <w:szCs w:val="24"/>
        </w:rPr>
        <w:t>egulation identifies the key thematic priorities for assistance. These are reflected in the IPA III Programming Framework, which represents the overarching European Commission's strategic document for the use of EU funds assisting the IPA III beneficiaries. This document has been prepared in partnership with the IPA III beneficiaries, Member States and the European Parliament. It identifies five thematic windows and provides an indicative allocation per area of support:</w:t>
      </w:r>
    </w:p>
    <w:p w14:paraId="7F8CC62C" w14:textId="77777777" w:rsidR="005739B7" w:rsidRPr="00B65C9D" w:rsidRDefault="005739B7" w:rsidP="005739B7">
      <w:pPr>
        <w:numPr>
          <w:ilvl w:val="0"/>
          <w:numId w:val="13"/>
        </w:numPr>
        <w:spacing w:after="120" w:line="240" w:lineRule="auto"/>
        <w:rPr>
          <w:rFonts w:ascii="Times New Roman" w:hAnsi="Times New Roman" w:cs="Times New Roman"/>
          <w:sz w:val="24"/>
          <w:szCs w:val="24"/>
        </w:rPr>
      </w:pPr>
      <w:r w:rsidRPr="36BE81E9">
        <w:rPr>
          <w:rFonts w:ascii="Times New Roman" w:hAnsi="Times New Roman" w:cs="Times New Roman"/>
          <w:sz w:val="24"/>
          <w:szCs w:val="24"/>
        </w:rPr>
        <w:t xml:space="preserve">Window 1: Rule of law, fundamental rights and democracy; </w:t>
      </w:r>
    </w:p>
    <w:p w14:paraId="569B7A1F" w14:textId="77777777" w:rsidR="005739B7" w:rsidRPr="00B65C9D" w:rsidRDefault="005739B7" w:rsidP="005739B7">
      <w:pPr>
        <w:numPr>
          <w:ilvl w:val="0"/>
          <w:numId w:val="13"/>
        </w:numPr>
        <w:spacing w:after="120" w:line="240" w:lineRule="auto"/>
        <w:rPr>
          <w:rFonts w:ascii="Times New Roman" w:hAnsi="Times New Roman" w:cs="Times New Roman"/>
          <w:sz w:val="24"/>
          <w:szCs w:val="24"/>
        </w:rPr>
      </w:pPr>
      <w:r w:rsidRPr="36BE81E9">
        <w:rPr>
          <w:rFonts w:ascii="Times New Roman" w:hAnsi="Times New Roman" w:cs="Times New Roman"/>
          <w:sz w:val="24"/>
          <w:szCs w:val="24"/>
        </w:rPr>
        <w:t xml:space="preserve">Window 2: Good governance,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alignment, good neighbourly relations and strategic communication;</w:t>
      </w:r>
    </w:p>
    <w:p w14:paraId="25A8E615" w14:textId="77777777" w:rsidR="005739B7" w:rsidRPr="00B65C9D" w:rsidRDefault="005739B7" w:rsidP="005739B7">
      <w:pPr>
        <w:numPr>
          <w:ilvl w:val="0"/>
          <w:numId w:val="13"/>
        </w:numPr>
        <w:spacing w:after="120" w:line="240" w:lineRule="auto"/>
        <w:rPr>
          <w:rFonts w:ascii="Times New Roman" w:hAnsi="Times New Roman" w:cs="Times New Roman"/>
          <w:sz w:val="24"/>
          <w:szCs w:val="24"/>
        </w:rPr>
      </w:pPr>
      <w:r w:rsidRPr="36BE81E9">
        <w:rPr>
          <w:rFonts w:ascii="Times New Roman" w:hAnsi="Times New Roman" w:cs="Times New Roman"/>
          <w:sz w:val="24"/>
          <w:szCs w:val="24"/>
        </w:rPr>
        <w:t>Window 3: Green agenda and sustainable connectivity;</w:t>
      </w:r>
    </w:p>
    <w:p w14:paraId="5B8F7FE8" w14:textId="77777777" w:rsidR="005739B7" w:rsidRPr="00B65C9D" w:rsidRDefault="005739B7" w:rsidP="005739B7">
      <w:pPr>
        <w:numPr>
          <w:ilvl w:val="0"/>
          <w:numId w:val="13"/>
        </w:numPr>
        <w:spacing w:after="120" w:line="240" w:lineRule="auto"/>
        <w:rPr>
          <w:rFonts w:ascii="Times New Roman" w:hAnsi="Times New Roman" w:cs="Times New Roman"/>
          <w:sz w:val="24"/>
          <w:szCs w:val="24"/>
        </w:rPr>
      </w:pPr>
      <w:r w:rsidRPr="36BE81E9">
        <w:rPr>
          <w:rFonts w:ascii="Times New Roman" w:hAnsi="Times New Roman" w:cs="Times New Roman"/>
          <w:sz w:val="24"/>
          <w:szCs w:val="24"/>
        </w:rPr>
        <w:t xml:space="preserve">Window 4: Competitiveness and inclusive growth; </w:t>
      </w:r>
    </w:p>
    <w:p w14:paraId="2B2ABDAD" w14:textId="77777777" w:rsidR="005739B7" w:rsidRPr="00B65C9D" w:rsidRDefault="005739B7" w:rsidP="005739B7">
      <w:pPr>
        <w:numPr>
          <w:ilvl w:val="0"/>
          <w:numId w:val="13"/>
        </w:numPr>
        <w:spacing w:after="120" w:line="240" w:lineRule="auto"/>
        <w:rPr>
          <w:rFonts w:ascii="Times New Roman" w:hAnsi="Times New Roman" w:cs="Times New Roman"/>
          <w:sz w:val="24"/>
          <w:szCs w:val="24"/>
        </w:rPr>
      </w:pPr>
      <w:r w:rsidRPr="36BE81E9">
        <w:rPr>
          <w:rFonts w:ascii="Times New Roman" w:hAnsi="Times New Roman" w:cs="Times New Roman"/>
          <w:sz w:val="24"/>
          <w:szCs w:val="24"/>
        </w:rPr>
        <w:t>Window 5: Territorial and cross border cooperation.</w:t>
      </w:r>
    </w:p>
    <w:p w14:paraId="21BB59E2" w14:textId="0264AB86"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These five windows, which broadly correspond to the specific objectives of the Regulation, are all facets of the EU policy for enlargement and are linked with one another in a </w:t>
      </w:r>
      <w:r w:rsidRPr="36BE81E9">
        <w:rPr>
          <w:rFonts w:ascii="Times New Roman" w:hAnsi="Times New Roman" w:cs="Times New Roman"/>
          <w:sz w:val="24"/>
          <w:szCs w:val="24"/>
        </w:rPr>
        <w:lastRenderedPageBreak/>
        <w:t>complementary manner. In addition, a number of cross cutting themes, such as climate change,</w:t>
      </w:r>
      <w:r>
        <w:rPr>
          <w:rFonts w:ascii="Times New Roman" w:hAnsi="Times New Roman" w:cs="Times New Roman"/>
          <w:sz w:val="24"/>
          <w:szCs w:val="24"/>
        </w:rPr>
        <w:t xml:space="preserve"> environmental protection,</w:t>
      </w:r>
      <w:r w:rsidR="000E27EC">
        <w:rPr>
          <w:rFonts w:ascii="Times New Roman" w:hAnsi="Times New Roman" w:cs="Times New Roman"/>
          <w:sz w:val="24"/>
          <w:szCs w:val="24"/>
        </w:rPr>
        <w:t xml:space="preserve"> </w:t>
      </w:r>
      <w:r w:rsidR="000E3A78">
        <w:rPr>
          <w:rFonts w:ascii="Times New Roman" w:hAnsi="Times New Roman" w:cs="Times New Roman"/>
          <w:sz w:val="24"/>
          <w:szCs w:val="24"/>
        </w:rPr>
        <w:t>,</w:t>
      </w:r>
      <w:r w:rsidRPr="36BE81E9">
        <w:rPr>
          <w:rFonts w:ascii="Times New Roman" w:hAnsi="Times New Roman" w:cs="Times New Roman"/>
          <w:sz w:val="24"/>
          <w:szCs w:val="24"/>
        </w:rPr>
        <w:t xml:space="preserve"> civil society, gender equality, rights</w:t>
      </w:r>
      <w:r w:rsidR="001379F4">
        <w:rPr>
          <w:rFonts w:ascii="Times New Roman" w:hAnsi="Times New Roman" w:cs="Times New Roman"/>
          <w:sz w:val="24"/>
          <w:szCs w:val="24"/>
        </w:rPr>
        <w:t>-</w:t>
      </w:r>
      <w:r w:rsidRPr="36BE81E9">
        <w:rPr>
          <w:rFonts w:ascii="Times New Roman" w:hAnsi="Times New Roman" w:cs="Times New Roman"/>
          <w:sz w:val="24"/>
          <w:szCs w:val="24"/>
        </w:rPr>
        <w:t>based approach, will be mainstreamed and therefore  implemented under the five windows.</w:t>
      </w:r>
      <w:r>
        <w:rPr>
          <w:rFonts w:ascii="Times New Roman" w:hAnsi="Times New Roman" w:cs="Times New Roman"/>
          <w:sz w:val="24"/>
          <w:szCs w:val="24"/>
        </w:rPr>
        <w:t xml:space="preserve"> </w:t>
      </w:r>
    </w:p>
    <w:p w14:paraId="2B740A3F" w14:textId="1B25D22C"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Likewise, some policies and actions, such as public administration reform and fight against </w:t>
      </w:r>
      <w:r w:rsidR="001A5388">
        <w:rPr>
          <w:rFonts w:ascii="Times New Roman" w:hAnsi="Times New Roman" w:cs="Times New Roman"/>
          <w:sz w:val="24"/>
          <w:szCs w:val="24"/>
        </w:rPr>
        <w:t xml:space="preserve">fraud and </w:t>
      </w:r>
      <w:r w:rsidRPr="36BE81E9">
        <w:rPr>
          <w:rFonts w:ascii="Times New Roman" w:hAnsi="Times New Roman" w:cs="Times New Roman"/>
          <w:sz w:val="24"/>
          <w:szCs w:val="24"/>
        </w:rPr>
        <w:t xml:space="preserve">corruption, are closely interlinked and therefore relevant for more than one window. Even if an action is placed under a particular </w:t>
      </w:r>
      <w:r w:rsidR="007737FC">
        <w:rPr>
          <w:rFonts w:ascii="Times New Roman" w:hAnsi="Times New Roman" w:cs="Times New Roman"/>
          <w:sz w:val="24"/>
          <w:szCs w:val="24"/>
        </w:rPr>
        <w:t>w</w:t>
      </w:r>
      <w:r w:rsidRPr="36BE81E9">
        <w:rPr>
          <w:rFonts w:ascii="Times New Roman" w:hAnsi="Times New Roman" w:cs="Times New Roman"/>
          <w:sz w:val="24"/>
          <w:szCs w:val="24"/>
        </w:rPr>
        <w:t xml:space="preserve">indow, it may contribute to other </w:t>
      </w:r>
      <w:r w:rsidR="007737FC">
        <w:rPr>
          <w:rFonts w:ascii="Times New Roman" w:hAnsi="Times New Roman" w:cs="Times New Roman"/>
          <w:sz w:val="24"/>
          <w:szCs w:val="24"/>
        </w:rPr>
        <w:t>w</w:t>
      </w:r>
      <w:r w:rsidRPr="36BE81E9">
        <w:rPr>
          <w:rFonts w:ascii="Times New Roman" w:hAnsi="Times New Roman" w:cs="Times New Roman"/>
          <w:sz w:val="24"/>
          <w:szCs w:val="24"/>
        </w:rPr>
        <w:t>indows and/or to IPA III specific objectives.</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For example, financial assistance provided for the implementation of agriculture and rural development </w:t>
      </w:r>
      <w:r>
        <w:rPr>
          <w:rFonts w:ascii="Times New Roman" w:hAnsi="Times New Roman" w:cs="Times New Roman"/>
          <w:sz w:val="24"/>
          <w:szCs w:val="24"/>
        </w:rPr>
        <w:t>programmes</w:t>
      </w:r>
      <w:r w:rsidRPr="36BE81E9">
        <w:rPr>
          <w:rFonts w:ascii="Times New Roman" w:hAnsi="Times New Roman" w:cs="Times New Roman"/>
          <w:sz w:val="24"/>
          <w:szCs w:val="24"/>
        </w:rPr>
        <w:t xml:space="preserve">, is also contributing to enhancing competitiveness of the sector, alignment with EU standards and public administration reform in the sector. The core of actions proposed will thus be looked at in order to determine their window. For instance, while most actions under all windows will have communications activities, a corporate communication campaign should be funded from </w:t>
      </w:r>
      <w:r w:rsidR="007737FC">
        <w:rPr>
          <w:rFonts w:ascii="Times New Roman" w:hAnsi="Times New Roman" w:cs="Times New Roman"/>
          <w:sz w:val="24"/>
          <w:szCs w:val="24"/>
        </w:rPr>
        <w:t>W</w:t>
      </w:r>
      <w:r w:rsidRPr="36BE81E9">
        <w:rPr>
          <w:rFonts w:ascii="Times New Roman" w:hAnsi="Times New Roman" w:cs="Times New Roman"/>
          <w:sz w:val="24"/>
          <w:szCs w:val="24"/>
        </w:rPr>
        <w:t xml:space="preserve">indow 2. </w:t>
      </w:r>
    </w:p>
    <w:p w14:paraId="1DB9CFE1" w14:textId="77777777" w:rsidR="005739B7" w:rsidRDefault="005739B7" w:rsidP="005739B7">
      <w:pPr>
        <w:spacing w:after="120" w:line="240" w:lineRule="auto"/>
        <w:jc w:val="both"/>
        <w:rPr>
          <w:rFonts w:ascii="Times New Roman" w:hAnsi="Times New Roman" w:cs="Times New Roman"/>
          <w:b/>
          <w:bCs/>
          <w:i/>
          <w:iCs/>
          <w:sz w:val="24"/>
          <w:szCs w:val="24"/>
          <w:u w:val="single"/>
        </w:rPr>
      </w:pPr>
      <w:r w:rsidRPr="36BE81E9">
        <w:rPr>
          <w:rFonts w:ascii="Times New Roman" w:hAnsi="Times New Roman" w:cs="Times New Roman"/>
          <w:b/>
          <w:bCs/>
          <w:i/>
          <w:iCs/>
          <w:sz w:val="24"/>
          <w:szCs w:val="24"/>
          <w:u w:val="single"/>
        </w:rPr>
        <w:t>IPA III Programming process</w:t>
      </w:r>
    </w:p>
    <w:p w14:paraId="7C68BF07" w14:textId="75EDD656"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Article 7 of the IPA III Regulation specifies that the IPA III programming framework shall take relevant national strategies and sector policies into due account. Assistance shall be targeted and adjusted to the specific situation of the beneficiaries, taking into account further efforts needed to meet the </w:t>
      </w:r>
      <w:r>
        <w:rPr>
          <w:rFonts w:ascii="Times New Roman" w:hAnsi="Times New Roman" w:cs="Times New Roman"/>
          <w:sz w:val="24"/>
          <w:szCs w:val="24"/>
        </w:rPr>
        <w:t xml:space="preserve">EU </w:t>
      </w:r>
      <w:r w:rsidRPr="36BE81E9">
        <w:rPr>
          <w:rFonts w:ascii="Times New Roman" w:hAnsi="Times New Roman" w:cs="Times New Roman"/>
          <w:sz w:val="24"/>
          <w:szCs w:val="24"/>
        </w:rPr>
        <w:t>membership criteria as well as the</w:t>
      </w:r>
      <w:r>
        <w:rPr>
          <w:rFonts w:ascii="Times New Roman" w:hAnsi="Times New Roman" w:cs="Times New Roman"/>
          <w:sz w:val="24"/>
          <w:szCs w:val="24"/>
        </w:rPr>
        <w:t>ir</w:t>
      </w:r>
      <w:r w:rsidRPr="36BE81E9">
        <w:rPr>
          <w:rFonts w:ascii="Times New Roman" w:hAnsi="Times New Roman" w:cs="Times New Roman"/>
          <w:sz w:val="24"/>
          <w:szCs w:val="24"/>
        </w:rPr>
        <w:t xml:space="preserve"> capacities. Assistance shall be differentiated in scope and intensity according to needs, commitment to reforms and progress in implementing those reforms.</w:t>
      </w:r>
      <w:r>
        <w:rPr>
          <w:rFonts w:ascii="Times New Roman" w:hAnsi="Times New Roman" w:cs="Times New Roman"/>
          <w:sz w:val="24"/>
          <w:szCs w:val="24"/>
        </w:rPr>
        <w:t xml:space="preserve"> </w:t>
      </w:r>
    </w:p>
    <w:p w14:paraId="59757D02" w14:textId="57DEC790"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With a view to strengthening the policy-driven approach and efficiency of EU support, </w:t>
      </w:r>
      <w:r w:rsidR="000E3A78">
        <w:rPr>
          <w:rFonts w:ascii="Times New Roman" w:hAnsi="Times New Roman" w:cs="Times New Roman"/>
          <w:sz w:val="24"/>
          <w:szCs w:val="24"/>
        </w:rPr>
        <w:t xml:space="preserve">the </w:t>
      </w:r>
      <w:r w:rsidRPr="36BE81E9">
        <w:rPr>
          <w:rFonts w:ascii="Times New Roman" w:hAnsi="Times New Roman" w:cs="Times New Roman"/>
          <w:b/>
          <w:bCs/>
          <w:sz w:val="24"/>
          <w:szCs w:val="24"/>
        </w:rPr>
        <w:t>relevance</w:t>
      </w:r>
      <w:r w:rsidRPr="36BE81E9">
        <w:rPr>
          <w:rFonts w:ascii="Times New Roman" w:hAnsi="Times New Roman" w:cs="Times New Roman"/>
          <w:sz w:val="24"/>
          <w:szCs w:val="24"/>
        </w:rPr>
        <w:t xml:space="preserve"> of requested IPA interventions, </w:t>
      </w:r>
      <w:r w:rsidR="000E3A78">
        <w:rPr>
          <w:rFonts w:ascii="Times New Roman" w:hAnsi="Times New Roman" w:cs="Times New Roman"/>
          <w:sz w:val="24"/>
          <w:szCs w:val="24"/>
        </w:rPr>
        <w:t xml:space="preserve">the </w:t>
      </w:r>
      <w:r w:rsidRPr="36BE81E9">
        <w:rPr>
          <w:rFonts w:ascii="Times New Roman" w:hAnsi="Times New Roman" w:cs="Times New Roman"/>
          <w:b/>
          <w:bCs/>
          <w:sz w:val="24"/>
          <w:szCs w:val="24"/>
        </w:rPr>
        <w:t>maturity</w:t>
      </w:r>
      <w:r w:rsidRPr="36BE81E9">
        <w:rPr>
          <w:rFonts w:ascii="Times New Roman" w:hAnsi="Times New Roman" w:cs="Times New Roman"/>
          <w:sz w:val="24"/>
          <w:szCs w:val="24"/>
        </w:rPr>
        <w:t xml:space="preserve"> of the proposals as well as</w:t>
      </w:r>
      <w:r w:rsidR="000E3A78">
        <w:rPr>
          <w:rFonts w:ascii="Times New Roman" w:hAnsi="Times New Roman" w:cs="Times New Roman"/>
          <w:sz w:val="24"/>
          <w:szCs w:val="24"/>
        </w:rPr>
        <w:t xml:space="preserve"> the</w:t>
      </w:r>
      <w:r w:rsidRPr="36BE81E9">
        <w:rPr>
          <w:rFonts w:ascii="Times New Roman" w:hAnsi="Times New Roman" w:cs="Times New Roman"/>
          <w:sz w:val="24"/>
          <w:szCs w:val="24"/>
        </w:rPr>
        <w:t xml:space="preserve"> </w:t>
      </w:r>
      <w:r w:rsidRPr="36BE81E9">
        <w:rPr>
          <w:rFonts w:ascii="Times New Roman" w:hAnsi="Times New Roman" w:cs="Times New Roman"/>
          <w:b/>
          <w:bCs/>
          <w:sz w:val="24"/>
          <w:szCs w:val="24"/>
        </w:rPr>
        <w:t>progress of the beneficiaries on their enlargement agenda</w:t>
      </w:r>
      <w:r w:rsidRPr="36BE81E9">
        <w:rPr>
          <w:rFonts w:ascii="Times New Roman" w:hAnsi="Times New Roman" w:cs="Times New Roman"/>
          <w:sz w:val="24"/>
          <w:szCs w:val="24"/>
        </w:rPr>
        <w:t xml:space="preserve">, will be the three key criteria for IPAIII programming. </w:t>
      </w:r>
    </w:p>
    <w:p w14:paraId="0B498D2C" w14:textId="14FCABA4"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t>
      </w:r>
      <w:r w:rsidR="005333A5">
        <w:rPr>
          <w:rFonts w:ascii="Times New Roman" w:hAnsi="Times New Roman" w:cs="Times New Roman"/>
          <w:sz w:val="24"/>
          <w:szCs w:val="24"/>
        </w:rPr>
        <w:t>b</w:t>
      </w:r>
      <w:r w:rsidRPr="36BE81E9">
        <w:rPr>
          <w:rFonts w:ascii="Times New Roman" w:hAnsi="Times New Roman" w:cs="Times New Roman"/>
          <w:sz w:val="24"/>
          <w:szCs w:val="24"/>
        </w:rPr>
        <w:t xml:space="preserve">eneficiaries are expected to prepare </w:t>
      </w:r>
      <w:r w:rsidRPr="36BE81E9">
        <w:rPr>
          <w:rFonts w:ascii="Times New Roman" w:hAnsi="Times New Roman" w:cs="Times New Roman"/>
          <w:b/>
          <w:bCs/>
          <w:sz w:val="24"/>
          <w:szCs w:val="24"/>
        </w:rPr>
        <w:t>Strategic Responses</w:t>
      </w:r>
      <w:r w:rsidRPr="36BE81E9">
        <w:rPr>
          <w:rFonts w:ascii="Times New Roman" w:hAnsi="Times New Roman" w:cs="Times New Roman"/>
          <w:sz w:val="24"/>
          <w:szCs w:val="24"/>
        </w:rPr>
        <w:t xml:space="preserve"> outlining how their overall policies and sectoral strategies are in line with the recommendations and requirements of the specific policy instruments of the enlargement process and how they will contribute to the objectives of IPA III Programming Framework. These documents will also include a first list of draft projects concretely presenting how IPA funding opportunities are planned to be used and how the thematic priorities contained in the IPA III programming framework will be addressed.</w:t>
      </w:r>
    </w:p>
    <w:p w14:paraId="1FB9837D" w14:textId="1CF27429"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European Commission</w:t>
      </w:r>
      <w:r w:rsidR="00091B11">
        <w:rPr>
          <w:rFonts w:ascii="Times New Roman" w:hAnsi="Times New Roman" w:cs="Times New Roman"/>
          <w:sz w:val="24"/>
          <w:szCs w:val="24"/>
        </w:rPr>
        <w:t xml:space="preserve"> </w:t>
      </w:r>
      <w:r w:rsidRPr="36BE81E9">
        <w:rPr>
          <w:rFonts w:ascii="Times New Roman" w:hAnsi="Times New Roman" w:cs="Times New Roman"/>
          <w:sz w:val="24"/>
          <w:szCs w:val="24"/>
        </w:rPr>
        <w:t xml:space="preserve">will make a first selection of actions on the basis of </w:t>
      </w:r>
      <w:r w:rsidRPr="36BE81E9">
        <w:rPr>
          <w:rFonts w:ascii="Times New Roman" w:hAnsi="Times New Roman" w:cs="Times New Roman"/>
          <w:b/>
          <w:bCs/>
          <w:sz w:val="24"/>
          <w:szCs w:val="24"/>
        </w:rPr>
        <w:t>policy relevance</w:t>
      </w:r>
      <w:r w:rsidRPr="36BE81E9">
        <w:rPr>
          <w:rFonts w:ascii="Times New Roman" w:hAnsi="Times New Roman" w:cs="Times New Roman"/>
          <w:sz w:val="24"/>
          <w:szCs w:val="24"/>
        </w:rPr>
        <w:t xml:space="preserve">. Only </w:t>
      </w:r>
      <w:r w:rsidR="00292CCD">
        <w:rPr>
          <w:rFonts w:ascii="Times New Roman" w:hAnsi="Times New Roman" w:cs="Times New Roman"/>
          <w:sz w:val="24"/>
          <w:szCs w:val="24"/>
        </w:rPr>
        <w:t>the</w:t>
      </w:r>
      <w:r w:rsidRPr="36BE81E9">
        <w:rPr>
          <w:rFonts w:ascii="Times New Roman" w:hAnsi="Times New Roman" w:cs="Times New Roman"/>
          <w:sz w:val="24"/>
          <w:szCs w:val="24"/>
        </w:rPr>
        <w:t xml:space="preserve"> actions that receive approval at this stage will be developed further in</w:t>
      </w:r>
      <w:r w:rsidR="00292CCD">
        <w:rPr>
          <w:rFonts w:ascii="Times New Roman" w:hAnsi="Times New Roman" w:cs="Times New Roman"/>
          <w:sz w:val="24"/>
          <w:szCs w:val="24"/>
        </w:rPr>
        <w:t>to</w:t>
      </w:r>
      <w:r w:rsidRPr="36BE81E9">
        <w:rPr>
          <w:rFonts w:ascii="Times New Roman" w:hAnsi="Times New Roman" w:cs="Times New Roman"/>
          <w:sz w:val="24"/>
          <w:szCs w:val="24"/>
        </w:rPr>
        <w:t xml:space="preserve"> fully-fledged action documents.</w:t>
      </w:r>
    </w:p>
    <w:p w14:paraId="2AF61639" w14:textId="6FE7CB52" w:rsidR="005739B7"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In line with the policy-first approach, actions will be considered as relevant when they contribute to achieving the objectives identified in the IPA III Programming Framework</w:t>
      </w:r>
      <w:r w:rsidR="007737FC">
        <w:rPr>
          <w:rFonts w:ascii="Times New Roman" w:hAnsi="Times New Roman" w:cs="Times New Roman"/>
          <w:sz w:val="24"/>
          <w:szCs w:val="24"/>
        </w:rPr>
        <w:t>. They should also be</w:t>
      </w:r>
      <w:r w:rsidRPr="592E4EBE">
        <w:rPr>
          <w:rFonts w:ascii="Times New Roman" w:hAnsi="Times New Roman" w:cs="Times New Roman"/>
          <w:sz w:val="24"/>
          <w:szCs w:val="24"/>
        </w:rPr>
        <w:t xml:space="preserve"> in line with the recommendations derived from the specific instruments of the enlargement process, in particular: the negotiating frameworks, the recommendations of the Enlargement Package, the Economic Reform Programmes (ERPs) and the policy guidance agreed annually in the joint conclusions, the conclusions of the meetings organised in the context of the (Stabilisation and) Association Agreement as well as,</w:t>
      </w:r>
      <w:r>
        <w:rPr>
          <w:rFonts w:ascii="Times New Roman" w:hAnsi="Times New Roman" w:cs="Times New Roman"/>
          <w:sz w:val="24"/>
          <w:szCs w:val="24"/>
        </w:rPr>
        <w:t xml:space="preserve"> </w:t>
      </w:r>
      <w:r w:rsidRPr="592E4EBE">
        <w:rPr>
          <w:rFonts w:ascii="Times New Roman" w:hAnsi="Times New Roman" w:cs="Times New Roman"/>
          <w:sz w:val="24"/>
          <w:szCs w:val="24"/>
        </w:rPr>
        <w:t xml:space="preserve">where applicable, the Western Balkans Strategy, </w:t>
      </w:r>
      <w:r>
        <w:rPr>
          <w:rFonts w:ascii="Times New Roman" w:hAnsi="Times New Roman" w:cs="Times New Roman"/>
          <w:sz w:val="24"/>
          <w:szCs w:val="24"/>
        </w:rPr>
        <w:t xml:space="preserve">the </w:t>
      </w:r>
      <w:r w:rsidR="007737FC">
        <w:rPr>
          <w:rFonts w:ascii="Times New Roman" w:hAnsi="Times New Roman" w:cs="Times New Roman"/>
          <w:sz w:val="24"/>
          <w:szCs w:val="24"/>
        </w:rPr>
        <w:t>m</w:t>
      </w:r>
      <w:r w:rsidRPr="00213F36">
        <w:rPr>
          <w:rFonts w:ascii="Times New Roman" w:hAnsi="Times New Roman" w:cs="Times New Roman"/>
          <w:sz w:val="24"/>
          <w:szCs w:val="24"/>
        </w:rPr>
        <w:t>acro-</w:t>
      </w:r>
      <w:r w:rsidR="007737FC">
        <w:rPr>
          <w:rFonts w:ascii="Times New Roman" w:hAnsi="Times New Roman" w:cs="Times New Roman"/>
          <w:sz w:val="24"/>
          <w:szCs w:val="24"/>
        </w:rPr>
        <w:t>r</w:t>
      </w:r>
      <w:r w:rsidRPr="00213F36">
        <w:rPr>
          <w:rFonts w:ascii="Times New Roman" w:hAnsi="Times New Roman" w:cs="Times New Roman"/>
          <w:sz w:val="24"/>
          <w:szCs w:val="24"/>
        </w:rPr>
        <w:t xml:space="preserve">egional </w:t>
      </w:r>
      <w:r w:rsidR="007737FC">
        <w:rPr>
          <w:rFonts w:ascii="Times New Roman" w:hAnsi="Times New Roman" w:cs="Times New Roman"/>
          <w:sz w:val="24"/>
          <w:szCs w:val="24"/>
        </w:rPr>
        <w:t>s</w:t>
      </w:r>
      <w:r>
        <w:rPr>
          <w:rFonts w:ascii="Times New Roman" w:hAnsi="Times New Roman" w:cs="Times New Roman"/>
          <w:sz w:val="24"/>
          <w:szCs w:val="24"/>
        </w:rPr>
        <w:t xml:space="preserve">trategies </w:t>
      </w:r>
      <w:r w:rsidRPr="592E4EBE">
        <w:rPr>
          <w:rFonts w:ascii="Times New Roman" w:hAnsi="Times New Roman" w:cs="Times New Roman"/>
          <w:sz w:val="24"/>
          <w:szCs w:val="24"/>
        </w:rPr>
        <w:t>and the national plan</w:t>
      </w:r>
      <w:r>
        <w:rPr>
          <w:rFonts w:ascii="Times New Roman" w:hAnsi="Times New Roman" w:cs="Times New Roman"/>
          <w:sz w:val="24"/>
          <w:szCs w:val="24"/>
        </w:rPr>
        <w:t>s</w:t>
      </w:r>
      <w:r w:rsidRPr="592E4EBE">
        <w:rPr>
          <w:rFonts w:ascii="Times New Roman" w:hAnsi="Times New Roman" w:cs="Times New Roman"/>
          <w:sz w:val="24"/>
          <w:szCs w:val="24"/>
        </w:rPr>
        <w:t xml:space="preserve"> for the adoption of the </w:t>
      </w:r>
      <w:r>
        <w:rPr>
          <w:rFonts w:ascii="Times New Roman" w:hAnsi="Times New Roman" w:cs="Times New Roman"/>
          <w:sz w:val="24"/>
          <w:szCs w:val="24"/>
        </w:rPr>
        <w:t xml:space="preserve">EU </w:t>
      </w:r>
      <w:r w:rsidRPr="592E4EBE">
        <w:rPr>
          <w:rFonts w:ascii="Times New Roman" w:hAnsi="Times New Roman" w:cs="Times New Roman"/>
          <w:i/>
          <w:iCs/>
          <w:sz w:val="24"/>
          <w:szCs w:val="24"/>
        </w:rPr>
        <w:t>acquis</w:t>
      </w:r>
      <w:r w:rsidRPr="592E4EBE">
        <w:rPr>
          <w:rFonts w:ascii="Times New Roman" w:hAnsi="Times New Roman" w:cs="Times New Roman"/>
          <w:sz w:val="24"/>
          <w:szCs w:val="24"/>
        </w:rPr>
        <w:t>.</w:t>
      </w:r>
      <w:r>
        <w:rPr>
          <w:rFonts w:ascii="Times New Roman" w:hAnsi="Times New Roman" w:cs="Times New Roman"/>
          <w:sz w:val="24"/>
          <w:szCs w:val="24"/>
        </w:rPr>
        <w:t xml:space="preserve"> </w:t>
      </w:r>
      <w:r w:rsidR="00BF6208">
        <w:rPr>
          <w:rFonts w:ascii="Times New Roman" w:hAnsi="Times New Roman" w:cs="Times New Roman"/>
          <w:sz w:val="24"/>
          <w:szCs w:val="24"/>
        </w:rPr>
        <w:t>T</w:t>
      </w:r>
      <w:r w:rsidRPr="592E4EBE">
        <w:rPr>
          <w:rFonts w:ascii="Times New Roman" w:hAnsi="Times New Roman" w:cs="Times New Roman"/>
          <w:sz w:val="24"/>
          <w:szCs w:val="24"/>
        </w:rPr>
        <w:t xml:space="preserve">he European Commission’s </w:t>
      </w:r>
      <w:r w:rsidR="007737FC">
        <w:rPr>
          <w:rFonts w:ascii="Times New Roman" w:hAnsi="Times New Roman" w:cs="Times New Roman"/>
          <w:sz w:val="24"/>
          <w:szCs w:val="24"/>
        </w:rPr>
        <w:t>r</w:t>
      </w:r>
      <w:r w:rsidRPr="592E4EBE">
        <w:rPr>
          <w:rFonts w:ascii="Times New Roman" w:hAnsi="Times New Roman" w:cs="Times New Roman"/>
          <w:sz w:val="24"/>
          <w:szCs w:val="24"/>
        </w:rPr>
        <w:t xml:space="preserve">eports, prepared in the framework of the annual </w:t>
      </w:r>
      <w:r>
        <w:rPr>
          <w:rFonts w:ascii="Times New Roman" w:hAnsi="Times New Roman" w:cs="Times New Roman"/>
          <w:sz w:val="24"/>
          <w:szCs w:val="24"/>
        </w:rPr>
        <w:t>E</w:t>
      </w:r>
      <w:r w:rsidRPr="592E4EBE">
        <w:rPr>
          <w:rFonts w:ascii="Times New Roman" w:hAnsi="Times New Roman" w:cs="Times New Roman"/>
          <w:sz w:val="24"/>
          <w:szCs w:val="24"/>
        </w:rPr>
        <w:t xml:space="preserve">nlargement </w:t>
      </w:r>
      <w:r>
        <w:rPr>
          <w:rFonts w:ascii="Times New Roman" w:hAnsi="Times New Roman" w:cs="Times New Roman"/>
          <w:sz w:val="24"/>
          <w:szCs w:val="24"/>
        </w:rPr>
        <w:t>P</w:t>
      </w:r>
      <w:r w:rsidRPr="592E4EBE">
        <w:rPr>
          <w:rFonts w:ascii="Times New Roman" w:hAnsi="Times New Roman" w:cs="Times New Roman"/>
          <w:sz w:val="24"/>
          <w:szCs w:val="24"/>
        </w:rPr>
        <w:t xml:space="preserve">ackage, provide a detailed assessment of both the level of preparedness and the degree of progress </w:t>
      </w:r>
      <w:r>
        <w:rPr>
          <w:rFonts w:ascii="Times New Roman" w:hAnsi="Times New Roman" w:cs="Times New Roman"/>
          <w:sz w:val="24"/>
          <w:szCs w:val="24"/>
        </w:rPr>
        <w:t xml:space="preserve">achieved </w:t>
      </w:r>
      <w:r w:rsidRPr="592E4EBE">
        <w:rPr>
          <w:rFonts w:ascii="Times New Roman" w:hAnsi="Times New Roman" w:cs="Times New Roman"/>
          <w:sz w:val="24"/>
          <w:szCs w:val="24"/>
        </w:rPr>
        <w:t xml:space="preserve">over the preceding reporting period. </w:t>
      </w:r>
    </w:p>
    <w:p w14:paraId="3DBF4AF2" w14:textId="77777777" w:rsidR="005739B7"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 xml:space="preserve">They also provide for concrete recommendations on the most pressing reforms to be undertaken per negotiating chapter. In addition, the policy guidance stemming from the ERP </w:t>
      </w:r>
      <w:r w:rsidRPr="592E4EBE">
        <w:rPr>
          <w:rFonts w:ascii="Times New Roman" w:hAnsi="Times New Roman" w:cs="Times New Roman"/>
          <w:sz w:val="24"/>
          <w:szCs w:val="24"/>
        </w:rPr>
        <w:lastRenderedPageBreak/>
        <w:t xml:space="preserve">process should serve as roadmaps for governments to prioritise and implement needed socio-economic reforms. </w:t>
      </w:r>
    </w:p>
    <w:p w14:paraId="6EAAEF44" w14:textId="2A7007CB"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support will be granted in complementarity with the previous financial assistance under IPA and IPA II as well as with </w:t>
      </w:r>
      <w:r>
        <w:rPr>
          <w:rFonts w:ascii="Times New Roman" w:hAnsi="Times New Roman" w:cs="Times New Roman"/>
          <w:sz w:val="24"/>
          <w:szCs w:val="24"/>
        </w:rPr>
        <w:t xml:space="preserve">the </w:t>
      </w:r>
      <w:r w:rsidRPr="00AF5904">
        <w:rPr>
          <w:rFonts w:ascii="Times New Roman" w:hAnsi="Times New Roman" w:cs="Times New Roman"/>
          <w:sz w:val="24"/>
          <w:szCs w:val="24"/>
        </w:rPr>
        <w:t>EU policies in the respective sectors</w:t>
      </w:r>
      <w:r w:rsidRPr="36BE81E9">
        <w:rPr>
          <w:rFonts w:ascii="Times New Roman" w:hAnsi="Times New Roman" w:cs="Times New Roman"/>
          <w:sz w:val="24"/>
          <w:szCs w:val="24"/>
        </w:rPr>
        <w:t xml:space="preserve">. In particular, IPA III ensures continuity with the Sector Approach introduced under the previous instrument to help the beneficiaries with the design and implementation of sector reforms and to increase coherence between national strategies, sector policies, resource allocation and spending practices. IPA III builds upon the previous achievements, as all the actions designed in support of a specific sector will be financed under the same window. </w:t>
      </w:r>
    </w:p>
    <w:p w14:paraId="2EA9FD3D" w14:textId="77777777"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Each beneficiary will be asked to demonstrate that the proposed actions have been widely </w:t>
      </w:r>
      <w:r w:rsidRPr="36BE81E9">
        <w:rPr>
          <w:rFonts w:ascii="Times New Roman" w:hAnsi="Times New Roman" w:cs="Times New Roman"/>
          <w:b/>
          <w:bCs/>
          <w:sz w:val="24"/>
          <w:szCs w:val="24"/>
        </w:rPr>
        <w:t>consulted</w:t>
      </w:r>
      <w:r w:rsidRPr="36BE81E9">
        <w:rPr>
          <w:rFonts w:ascii="Times New Roman" w:hAnsi="Times New Roman" w:cs="Times New Roman"/>
          <w:sz w:val="24"/>
          <w:szCs w:val="24"/>
        </w:rPr>
        <w:t xml:space="preserve"> at different levels with sector working groups, stakeholders and other donors in order to ensure broad societal ownership and added-value. </w:t>
      </w:r>
    </w:p>
    <w:p w14:paraId="4A64D89D" w14:textId="26E7CC1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second selection will focus on </w:t>
      </w:r>
      <w:r w:rsidRPr="36BE81E9">
        <w:rPr>
          <w:rFonts w:ascii="Times New Roman" w:hAnsi="Times New Roman" w:cs="Times New Roman"/>
          <w:b/>
          <w:bCs/>
          <w:sz w:val="24"/>
          <w:szCs w:val="24"/>
        </w:rPr>
        <w:t>technical maturity</w:t>
      </w:r>
      <w:r w:rsidRPr="36BE81E9">
        <w:rPr>
          <w:rFonts w:ascii="Times New Roman" w:hAnsi="Times New Roman" w:cs="Times New Roman"/>
          <w:sz w:val="24"/>
          <w:szCs w:val="24"/>
        </w:rPr>
        <w:t xml:space="preserve">. Only actions that are sufficiently technically mature will be considered ready for adoption. An action will be considered as sufficiently technically mature, when most preparatory activities (e.g. environmental impact assessment, social impact assessment, climate proofing, identification and approval of site location, cost-benefit analysis, drafting of tender specifications / Terms of Reference etc.) have been finalised. </w:t>
      </w:r>
      <w:r>
        <w:rPr>
          <w:rFonts w:ascii="Times New Roman" w:hAnsi="Times New Roman" w:cs="Times New Roman"/>
          <w:sz w:val="24"/>
          <w:szCs w:val="24"/>
        </w:rPr>
        <w:t>Where applicable, t</w:t>
      </w:r>
      <w:r w:rsidRPr="36BE81E9">
        <w:rPr>
          <w:rFonts w:ascii="Times New Roman" w:hAnsi="Times New Roman" w:cs="Times New Roman"/>
          <w:sz w:val="24"/>
          <w:szCs w:val="24"/>
        </w:rPr>
        <w:t xml:space="preserve">echnical maturity will be assessed also in the broader sense of ensuring that the proposed </w:t>
      </w:r>
      <w:r>
        <w:rPr>
          <w:rFonts w:ascii="Times New Roman" w:hAnsi="Times New Roman" w:cs="Times New Roman"/>
          <w:sz w:val="24"/>
          <w:szCs w:val="24"/>
        </w:rPr>
        <w:t>action</w:t>
      </w:r>
      <w:r w:rsidRPr="36BE81E9">
        <w:rPr>
          <w:rFonts w:ascii="Times New Roman" w:hAnsi="Times New Roman" w:cs="Times New Roman"/>
          <w:sz w:val="24"/>
          <w:szCs w:val="24"/>
        </w:rPr>
        <w:t xml:space="preserve"> provides the appropriate mix of investments, reforms, including EU </w:t>
      </w:r>
      <w:r w:rsidRPr="009F6272">
        <w:rPr>
          <w:rFonts w:ascii="Times New Roman" w:hAnsi="Times New Roman" w:cs="Times New Roman"/>
          <w:i/>
          <w:sz w:val="24"/>
          <w:szCs w:val="24"/>
        </w:rPr>
        <w:t>acquis</w:t>
      </w:r>
      <w:r w:rsidRPr="36BE81E9">
        <w:rPr>
          <w:rFonts w:ascii="Times New Roman" w:hAnsi="Times New Roman" w:cs="Times New Roman"/>
          <w:sz w:val="24"/>
          <w:szCs w:val="24"/>
        </w:rPr>
        <w:t xml:space="preserve"> alignment, and assistance to build-up administrative capacities, where needed. Actions that are not </w:t>
      </w:r>
      <w:r w:rsidR="000E3A78">
        <w:rPr>
          <w:rFonts w:ascii="Times New Roman" w:hAnsi="Times New Roman" w:cs="Times New Roman"/>
          <w:sz w:val="24"/>
          <w:szCs w:val="24"/>
        </w:rPr>
        <w:t xml:space="preserve">technically </w:t>
      </w:r>
      <w:r w:rsidRPr="36BE81E9">
        <w:rPr>
          <w:rFonts w:ascii="Times New Roman" w:hAnsi="Times New Roman" w:cs="Times New Roman"/>
          <w:sz w:val="24"/>
          <w:szCs w:val="24"/>
        </w:rPr>
        <w:t xml:space="preserve">mature </w:t>
      </w:r>
      <w:r w:rsidR="00091B11">
        <w:rPr>
          <w:rFonts w:ascii="Times New Roman" w:hAnsi="Times New Roman" w:cs="Times New Roman"/>
          <w:sz w:val="24"/>
          <w:szCs w:val="24"/>
        </w:rPr>
        <w:t xml:space="preserve">yet </w:t>
      </w:r>
      <w:r w:rsidRPr="36BE81E9">
        <w:rPr>
          <w:rFonts w:ascii="Times New Roman" w:hAnsi="Times New Roman" w:cs="Times New Roman"/>
          <w:sz w:val="24"/>
          <w:szCs w:val="24"/>
        </w:rPr>
        <w:t>but have policy relevance shall remain in the pipeline for adoption at a later stage (e.g. the following year).</w:t>
      </w:r>
    </w:p>
    <w:p w14:paraId="19D6D581" w14:textId="644A2110"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line with the commitment to a merit-based enlargement process, the overall exercise of assessment of the strategic response will take into account the </w:t>
      </w:r>
      <w:r w:rsidRPr="36BE81E9">
        <w:rPr>
          <w:rFonts w:ascii="Times New Roman" w:hAnsi="Times New Roman" w:cs="Times New Roman"/>
          <w:b/>
          <w:bCs/>
          <w:sz w:val="24"/>
          <w:szCs w:val="24"/>
        </w:rPr>
        <w:t>progress of each beneficiary on the enlargement agenda</w:t>
      </w:r>
      <w:r w:rsidRPr="36BE81E9">
        <w:rPr>
          <w:rFonts w:ascii="Times New Roman" w:hAnsi="Times New Roman" w:cs="Times New Roman"/>
          <w:sz w:val="24"/>
          <w:szCs w:val="24"/>
        </w:rPr>
        <w:t>.</w:t>
      </w:r>
      <w:r w:rsidR="00BF3641">
        <w:rPr>
          <w:rFonts w:ascii="Times New Roman" w:hAnsi="Times New Roman" w:cs="Times New Roman"/>
          <w:sz w:val="24"/>
          <w:szCs w:val="24"/>
        </w:rPr>
        <w:t xml:space="preserve"> P</w:t>
      </w:r>
      <w:r w:rsidR="00BF3641" w:rsidRPr="00597918">
        <w:rPr>
          <w:rFonts w:ascii="Times New Roman" w:hAnsi="Times New Roman" w:cs="Times New Roman"/>
          <w:sz w:val="24"/>
          <w:szCs w:val="24"/>
        </w:rPr>
        <w:t xml:space="preserve">articular attention </w:t>
      </w:r>
      <w:r w:rsidR="00BF3641">
        <w:rPr>
          <w:rFonts w:ascii="Times New Roman" w:hAnsi="Times New Roman" w:cs="Times New Roman"/>
          <w:sz w:val="24"/>
          <w:szCs w:val="24"/>
        </w:rPr>
        <w:t>will</w:t>
      </w:r>
      <w:r w:rsidR="00BF3641" w:rsidRPr="00597918">
        <w:rPr>
          <w:rFonts w:ascii="Times New Roman" w:hAnsi="Times New Roman" w:cs="Times New Roman"/>
          <w:sz w:val="24"/>
          <w:szCs w:val="24"/>
        </w:rPr>
        <w:t xml:space="preserve"> be paid to the efforts made in the field of the rule of law and fundamental rights, democratic institutions and public administration reform as well as economic development and competitiveness.</w:t>
      </w:r>
      <w:r>
        <w:rPr>
          <w:rFonts w:ascii="Times New Roman" w:hAnsi="Times New Roman" w:cs="Times New Roman"/>
          <w:sz w:val="24"/>
          <w:szCs w:val="24"/>
        </w:rPr>
        <w:t xml:space="preserve"> </w:t>
      </w:r>
      <w:r w:rsidRPr="36BE81E9">
        <w:rPr>
          <w:rFonts w:ascii="Times New Roman" w:hAnsi="Times New Roman" w:cs="Times New Roman"/>
          <w:sz w:val="24"/>
          <w:szCs w:val="24"/>
        </w:rPr>
        <w:t>Assistance will be targeted and adjusted to the specific situation of the beneficiaries, ensuring an appropriate level of support to all of them (principle of ‘</w:t>
      </w:r>
      <w:r w:rsidRPr="36BE81E9">
        <w:rPr>
          <w:rFonts w:ascii="Times New Roman" w:hAnsi="Times New Roman" w:cs="Times New Roman"/>
          <w:b/>
          <w:bCs/>
          <w:sz w:val="24"/>
          <w:szCs w:val="24"/>
        </w:rPr>
        <w:t>fair share’</w:t>
      </w:r>
      <w:r w:rsidRPr="36BE81E9">
        <w:rPr>
          <w:rFonts w:ascii="Times New Roman" w:hAnsi="Times New Roman" w:cs="Times New Roman"/>
          <w:sz w:val="24"/>
          <w:szCs w:val="24"/>
        </w:rPr>
        <w:t>). This performance-based and reform-oriented approach means that if candidate</w:t>
      </w:r>
      <w:r>
        <w:rPr>
          <w:rFonts w:ascii="Times New Roman" w:hAnsi="Times New Roman" w:cs="Times New Roman"/>
          <w:sz w:val="24"/>
          <w:szCs w:val="24"/>
        </w:rPr>
        <w:t xml:space="preserve"> countrie</w:t>
      </w:r>
      <w:r w:rsidRPr="36BE81E9">
        <w:rPr>
          <w:rFonts w:ascii="Times New Roman" w:hAnsi="Times New Roman" w:cs="Times New Roman"/>
          <w:sz w:val="24"/>
          <w:szCs w:val="24"/>
        </w:rPr>
        <w:t>s and potential candidates move on reform priorities agreed in the negotiations,</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they will also have access to increased funding investments. </w:t>
      </w:r>
    </w:p>
    <w:p w14:paraId="61C980DD"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IPA III programming process aims at ensuring an on-going pipeline of mature actions that reflect priorities identified in the specific instruments of the enlargement process as well as in the national strategic documents and relevant action plans and contributes to accelerating their implementation by reducing the time gap between their selection and effective contracting. The programming process is described by means of a diagram at the end of this chapter.</w:t>
      </w:r>
    </w:p>
    <w:p w14:paraId="0A6197AC" w14:textId="77777777" w:rsidR="005739B7" w:rsidRPr="00293E28" w:rsidRDefault="005739B7" w:rsidP="005739B7">
      <w:pPr>
        <w:spacing w:after="120" w:line="240" w:lineRule="auto"/>
        <w:jc w:val="both"/>
        <w:rPr>
          <w:rFonts w:ascii="Times New Roman" w:hAnsi="Times New Roman" w:cs="Times New Roman"/>
          <w:b/>
          <w:bCs/>
          <w:i/>
          <w:iCs/>
          <w:sz w:val="24"/>
          <w:szCs w:val="24"/>
          <w:u w:val="single"/>
        </w:rPr>
      </w:pPr>
      <w:r w:rsidRPr="36BE81E9">
        <w:rPr>
          <w:rFonts w:ascii="Times New Roman" w:hAnsi="Times New Roman" w:cs="Times New Roman"/>
          <w:b/>
          <w:bCs/>
          <w:i/>
          <w:iCs/>
          <w:sz w:val="24"/>
          <w:szCs w:val="24"/>
          <w:u w:val="single"/>
        </w:rPr>
        <w:t>Preferred methods of budget implementation and types of financing</w:t>
      </w:r>
    </w:p>
    <w:p w14:paraId="5D045ED9" w14:textId="3C3F3F35"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rely on a variety of </w:t>
      </w:r>
      <w:r w:rsidRPr="36BE81E9">
        <w:rPr>
          <w:rFonts w:ascii="Times New Roman" w:hAnsi="Times New Roman" w:cs="Times New Roman"/>
          <w:b/>
          <w:bCs/>
          <w:sz w:val="24"/>
          <w:szCs w:val="24"/>
        </w:rPr>
        <w:t>partners</w:t>
      </w:r>
      <w:r w:rsidR="00091B11">
        <w:rPr>
          <w:rFonts w:ascii="Times New Roman" w:hAnsi="Times New Roman" w:cs="Times New Roman"/>
          <w:b/>
          <w:bCs/>
          <w:sz w:val="24"/>
          <w:szCs w:val="24"/>
        </w:rPr>
        <w:t xml:space="preserve">, </w:t>
      </w:r>
      <w:r w:rsidRPr="36BE81E9">
        <w:rPr>
          <w:rFonts w:ascii="Times New Roman" w:hAnsi="Times New Roman" w:cs="Times New Roman"/>
          <w:sz w:val="24"/>
          <w:szCs w:val="24"/>
        </w:rPr>
        <w:t xml:space="preserve">such as </w:t>
      </w:r>
      <w:r w:rsidR="002E7BB7">
        <w:rPr>
          <w:rFonts w:ascii="Times New Roman" w:hAnsi="Times New Roman" w:cs="Times New Roman"/>
          <w:sz w:val="24"/>
          <w:szCs w:val="24"/>
        </w:rPr>
        <w:t xml:space="preserve">relevant EU Agencies, </w:t>
      </w:r>
      <w:r w:rsidRPr="36BE81E9">
        <w:rPr>
          <w:rFonts w:ascii="Times New Roman" w:hAnsi="Times New Roman" w:cs="Times New Roman"/>
          <w:sz w:val="24"/>
          <w:szCs w:val="24"/>
        </w:rPr>
        <w:t xml:space="preserve">central and local authorities, Member States’ agencies and organisations, international and regional organisations, civil society organisations, </w:t>
      </w:r>
      <w:r w:rsidR="00091B11">
        <w:rPr>
          <w:rFonts w:ascii="Times New Roman" w:hAnsi="Times New Roman" w:cs="Times New Roman"/>
          <w:sz w:val="24"/>
          <w:szCs w:val="24"/>
        </w:rPr>
        <w:t xml:space="preserve">and </w:t>
      </w:r>
      <w:r w:rsidRPr="36BE81E9">
        <w:rPr>
          <w:rFonts w:ascii="Times New Roman" w:hAnsi="Times New Roman" w:cs="Times New Roman"/>
          <w:sz w:val="24"/>
          <w:szCs w:val="24"/>
        </w:rPr>
        <w:t>international and development financial institutions)</w:t>
      </w:r>
      <w:r w:rsidR="00091B11">
        <w:rPr>
          <w:rFonts w:ascii="Times New Roman" w:hAnsi="Times New Roman" w:cs="Times New Roman"/>
          <w:sz w:val="24"/>
          <w:szCs w:val="24"/>
        </w:rPr>
        <w:t>,</w:t>
      </w:r>
      <w:r w:rsidRPr="36BE81E9">
        <w:rPr>
          <w:rFonts w:ascii="Times New Roman" w:hAnsi="Times New Roman" w:cs="Times New Roman"/>
          <w:sz w:val="24"/>
          <w:szCs w:val="24"/>
        </w:rPr>
        <w:t xml:space="preserve"> in situations where they have a clear added value, building on the experience achieved and the lessons learned from the implementation of IPA and IPA II. </w:t>
      </w:r>
    </w:p>
    <w:p w14:paraId="0BB7A1F9" w14:textId="6168B25D"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Assistance under IPA III (</w:t>
      </w:r>
      <w:r w:rsidR="007737FC">
        <w:rPr>
          <w:rFonts w:ascii="Times New Roman" w:hAnsi="Times New Roman" w:cs="Times New Roman"/>
          <w:sz w:val="24"/>
          <w:szCs w:val="24"/>
        </w:rPr>
        <w:t>all windows</w:t>
      </w:r>
      <w:r w:rsidRPr="36BE81E9">
        <w:rPr>
          <w:rFonts w:ascii="Times New Roman" w:hAnsi="Times New Roman" w:cs="Times New Roman"/>
          <w:sz w:val="24"/>
          <w:szCs w:val="24"/>
        </w:rPr>
        <w:t xml:space="preserve">) will continue to be implemented using the </w:t>
      </w:r>
      <w:r w:rsidRPr="36BE81E9">
        <w:rPr>
          <w:rFonts w:ascii="Times New Roman" w:hAnsi="Times New Roman" w:cs="Times New Roman"/>
          <w:b/>
          <w:bCs/>
          <w:sz w:val="24"/>
          <w:szCs w:val="24"/>
        </w:rPr>
        <w:t xml:space="preserve">full range of management modes </w:t>
      </w:r>
      <w:r w:rsidRPr="36BE81E9">
        <w:rPr>
          <w:rFonts w:ascii="Times New Roman" w:hAnsi="Times New Roman" w:cs="Times New Roman"/>
          <w:sz w:val="24"/>
          <w:szCs w:val="24"/>
        </w:rPr>
        <w:t>in accordance with the Financial Regulation</w:t>
      </w:r>
      <w:r>
        <w:rPr>
          <w:rFonts w:ascii="Times New Roman" w:hAnsi="Times New Roman" w:cs="Times New Roman"/>
          <w:sz w:val="24"/>
          <w:szCs w:val="24"/>
        </w:rPr>
        <w:t xml:space="preserve"> and with the State aid principles and regulations.</w:t>
      </w:r>
    </w:p>
    <w:p w14:paraId="1ECD7998" w14:textId="76EBA1E9"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lastRenderedPageBreak/>
        <w:t xml:space="preserve">In terms of </w:t>
      </w:r>
      <w:r w:rsidRPr="36BE81E9">
        <w:rPr>
          <w:rFonts w:ascii="Times New Roman" w:hAnsi="Times New Roman" w:cs="Times New Roman"/>
          <w:b/>
          <w:bCs/>
          <w:sz w:val="24"/>
          <w:szCs w:val="24"/>
        </w:rPr>
        <w:t>instruments and delivery modes</w:t>
      </w:r>
      <w:r w:rsidRPr="36BE81E9">
        <w:rPr>
          <w:rFonts w:ascii="Times New Roman" w:hAnsi="Times New Roman" w:cs="Times New Roman"/>
          <w:sz w:val="24"/>
          <w:szCs w:val="24"/>
        </w:rPr>
        <w:t>, all types of financing foreseen in the Regulation are possible: from grants, procurement, budget support, contributions to EU Trust funds if relevant, to financial instruments and budgetary guarantees</w:t>
      </w:r>
      <w:r w:rsidR="00AD106D">
        <w:rPr>
          <w:rFonts w:ascii="Times New Roman" w:hAnsi="Times New Roman" w:cs="Times New Roman"/>
          <w:sz w:val="24"/>
          <w:szCs w:val="24"/>
        </w:rPr>
        <w:t>, as well as Team Europe Initiative</w:t>
      </w:r>
      <w:r w:rsidR="00EF1C9B">
        <w:rPr>
          <w:rFonts w:ascii="Times New Roman" w:hAnsi="Times New Roman" w:cs="Times New Roman"/>
          <w:sz w:val="24"/>
          <w:szCs w:val="24"/>
        </w:rPr>
        <w:t>s</w:t>
      </w:r>
      <w:r w:rsidRPr="36BE81E9">
        <w:rPr>
          <w:rFonts w:ascii="Times New Roman" w:hAnsi="Times New Roman" w:cs="Times New Roman"/>
          <w:sz w:val="24"/>
          <w:szCs w:val="24"/>
        </w:rPr>
        <w:t xml:space="preserve">. </w:t>
      </w:r>
    </w:p>
    <w:p w14:paraId="4BBE6F2B" w14:textId="3E474A9B" w:rsidR="005739B7" w:rsidRDefault="005739B7" w:rsidP="005739B7">
      <w:pPr>
        <w:spacing w:after="120" w:line="240" w:lineRule="auto"/>
        <w:jc w:val="both"/>
        <w:rPr>
          <w:rFonts w:ascii="Times New Roman" w:hAnsi="Times New Roman" w:cs="Times New Roman"/>
          <w:sz w:val="24"/>
          <w:szCs w:val="24"/>
        </w:rPr>
      </w:pPr>
      <w:r w:rsidRPr="592E4EBE">
        <w:rPr>
          <w:rFonts w:ascii="Times New Roman" w:eastAsia="Times New Roman" w:hAnsi="Times New Roman" w:cs="Times New Roman"/>
          <w:sz w:val="24"/>
          <w:szCs w:val="24"/>
        </w:rPr>
        <w:t xml:space="preserve">The </w:t>
      </w:r>
      <w:r w:rsidRPr="00435B6F">
        <w:rPr>
          <w:rFonts w:ascii="Times New Roman" w:eastAsia="Times New Roman" w:hAnsi="Times New Roman" w:cs="Times New Roman"/>
          <w:b/>
          <w:bCs/>
          <w:sz w:val="24"/>
          <w:szCs w:val="24"/>
        </w:rPr>
        <w:t>Western Balkans Guarantee Facility</w:t>
      </w:r>
      <w:r w:rsidRPr="592E4EBE">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the Western Balkans arm of the External Action Guarantee – and the External Action Guarantee in Turkey</w:t>
      </w:r>
      <w:r w:rsidRPr="592E4EBE">
        <w:rPr>
          <w:rFonts w:ascii="Times New Roman" w:eastAsia="Times New Roman" w:hAnsi="Times New Roman" w:cs="Times New Roman"/>
          <w:sz w:val="24"/>
          <w:szCs w:val="24"/>
        </w:rPr>
        <w:t xml:space="preserve"> will be used in particular to support the socio-economic recovery of the enlargement region after the outbreak of the COVID-19 pandemic. Through their increased firepower</w:t>
      </w:r>
      <w:r w:rsidR="007737FC">
        <w:rPr>
          <w:rFonts w:ascii="Times New Roman" w:eastAsia="Times New Roman" w:hAnsi="Times New Roman" w:cs="Times New Roman"/>
          <w:sz w:val="24"/>
          <w:szCs w:val="24"/>
        </w:rPr>
        <w:t>,</w:t>
      </w:r>
      <w:r w:rsidRPr="592E4EBE">
        <w:rPr>
          <w:rFonts w:ascii="Times New Roman" w:eastAsia="Times New Roman" w:hAnsi="Times New Roman" w:cs="Times New Roman"/>
          <w:sz w:val="24"/>
          <w:szCs w:val="24"/>
        </w:rPr>
        <w:t xml:space="preserve"> the European Commission aims at leveraging funds from the private and public sector and promote investment also in the enlargement region and thus multiplying the effect of the EU assistance.</w:t>
      </w:r>
    </w:p>
    <w:p w14:paraId="63BBB23D" w14:textId="77777777" w:rsidR="005739B7"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Support to institution building may be provided through the two dedicated Institution Building Instruments: TAIEX and Twinning.</w:t>
      </w:r>
    </w:p>
    <w:p w14:paraId="32B1C466" w14:textId="5F013DA0"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will also promote, when relevant, beneficiaries’ participation</w:t>
      </w:r>
      <w:r>
        <w:rPr>
          <w:rFonts w:ascii="Times New Roman" w:hAnsi="Times New Roman" w:cs="Times New Roman"/>
          <w:sz w:val="24"/>
          <w:szCs w:val="24"/>
        </w:rPr>
        <w:t xml:space="preserve"> in </w:t>
      </w:r>
      <w:r>
        <w:rPr>
          <w:rFonts w:ascii="Times New Roman" w:hAnsi="Times New Roman" w:cs="Times New Roman"/>
          <w:b/>
          <w:sz w:val="24"/>
          <w:szCs w:val="24"/>
        </w:rPr>
        <w:t xml:space="preserve">Agencies, </w:t>
      </w:r>
      <w:r w:rsidRPr="36BE81E9">
        <w:rPr>
          <w:rFonts w:ascii="Times New Roman" w:hAnsi="Times New Roman" w:cs="Times New Roman"/>
          <w:b/>
          <w:bCs/>
          <w:sz w:val="24"/>
          <w:szCs w:val="24"/>
        </w:rPr>
        <w:t>Facilities</w:t>
      </w:r>
      <w:r>
        <w:rPr>
          <w:rFonts w:ascii="Times New Roman" w:hAnsi="Times New Roman" w:cs="Times New Roman"/>
          <w:b/>
          <w:bCs/>
          <w:sz w:val="24"/>
          <w:szCs w:val="24"/>
        </w:rPr>
        <w:t xml:space="preserve"> and</w:t>
      </w:r>
      <w:r w:rsidRPr="36BE81E9">
        <w:rPr>
          <w:rFonts w:ascii="Times New Roman" w:hAnsi="Times New Roman" w:cs="Times New Roman"/>
          <w:b/>
          <w:bCs/>
          <w:sz w:val="24"/>
          <w:szCs w:val="24"/>
        </w:rPr>
        <w:t xml:space="preserve"> Union Programmes</w:t>
      </w:r>
      <w:r>
        <w:rPr>
          <w:rFonts w:ascii="Times New Roman" w:hAnsi="Times New Roman" w:cs="Times New Roman"/>
          <w:sz w:val="24"/>
          <w:szCs w:val="24"/>
        </w:rPr>
        <w:t xml:space="preserve">, such as, but not limited to, Erasmus+, Horizon Europe, </w:t>
      </w:r>
      <w:r w:rsidR="00DA4C1D">
        <w:rPr>
          <w:rFonts w:ascii="Times New Roman" w:hAnsi="Times New Roman" w:cs="Times New Roman"/>
          <w:sz w:val="24"/>
          <w:szCs w:val="24"/>
        </w:rPr>
        <w:t xml:space="preserve"> </w:t>
      </w:r>
      <w:r>
        <w:rPr>
          <w:rFonts w:ascii="Times New Roman" w:hAnsi="Times New Roman" w:cs="Times New Roman"/>
          <w:sz w:val="24"/>
          <w:szCs w:val="24"/>
        </w:rPr>
        <w:t>InvestEU Fund, Creative Europe</w:t>
      </w:r>
      <w:r w:rsidRPr="36BE81E9">
        <w:rPr>
          <w:rFonts w:ascii="Times New Roman" w:hAnsi="Times New Roman" w:cs="Times New Roman"/>
          <w:sz w:val="24"/>
          <w:szCs w:val="24"/>
        </w:rPr>
        <w:t>.</w:t>
      </w:r>
    </w:p>
    <w:p w14:paraId="68C848A8" w14:textId="26F4E155"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b/>
          <w:bCs/>
          <w:sz w:val="24"/>
          <w:szCs w:val="24"/>
        </w:rPr>
        <w:t xml:space="preserve">Thematic support </w:t>
      </w:r>
      <w:r w:rsidRPr="36BE81E9">
        <w:rPr>
          <w:rFonts w:ascii="Times New Roman" w:hAnsi="Times New Roman" w:cs="Times New Roman"/>
          <w:sz w:val="24"/>
          <w:szCs w:val="24"/>
        </w:rPr>
        <w:t>provided under the Neighbourhood, Development and International Cooperation Instrument</w:t>
      </w:r>
      <w:r w:rsidR="00EE314A">
        <w:rPr>
          <w:rFonts w:ascii="Times New Roman" w:hAnsi="Times New Roman" w:cs="Times New Roman"/>
          <w:sz w:val="24"/>
          <w:szCs w:val="24"/>
        </w:rPr>
        <w:t xml:space="preserve"> – Global Europe</w:t>
      </w:r>
      <w:r w:rsidRPr="36BE81E9">
        <w:rPr>
          <w:rFonts w:ascii="Times New Roman" w:hAnsi="Times New Roman" w:cs="Times New Roman"/>
          <w:sz w:val="24"/>
          <w:szCs w:val="24"/>
        </w:rPr>
        <w:t xml:space="preserve"> (NDICI</w:t>
      </w:r>
      <w:r w:rsidR="00EE314A">
        <w:rPr>
          <w:rFonts w:ascii="Times New Roman" w:hAnsi="Times New Roman" w:cs="Times New Roman"/>
          <w:sz w:val="24"/>
          <w:szCs w:val="24"/>
        </w:rPr>
        <w:t>-GE</w:t>
      </w:r>
      <w:r w:rsidRPr="36BE81E9">
        <w:rPr>
          <w:rFonts w:ascii="Times New Roman" w:hAnsi="Times New Roman" w:cs="Times New Roman"/>
          <w:sz w:val="24"/>
          <w:szCs w:val="24"/>
        </w:rPr>
        <w:t xml:space="preserve">) </w:t>
      </w:r>
      <w:r w:rsidR="00513988" w:rsidRPr="36BE81E9">
        <w:rPr>
          <w:rFonts w:ascii="Times New Roman" w:hAnsi="Times New Roman" w:cs="Times New Roman"/>
          <w:sz w:val="24"/>
          <w:szCs w:val="24"/>
        </w:rPr>
        <w:t>m</w:t>
      </w:r>
      <w:r w:rsidR="00513988">
        <w:rPr>
          <w:rFonts w:ascii="Times New Roman" w:hAnsi="Times New Roman" w:cs="Times New Roman"/>
          <w:sz w:val="24"/>
          <w:szCs w:val="24"/>
        </w:rPr>
        <w:t>ay</w:t>
      </w:r>
      <w:r w:rsidR="00513988" w:rsidRPr="36BE81E9">
        <w:rPr>
          <w:rFonts w:ascii="Times New Roman" w:hAnsi="Times New Roman" w:cs="Times New Roman"/>
          <w:sz w:val="24"/>
          <w:szCs w:val="24"/>
        </w:rPr>
        <w:t xml:space="preserve"> </w:t>
      </w:r>
      <w:r w:rsidRPr="36BE81E9">
        <w:rPr>
          <w:rFonts w:ascii="Times New Roman" w:hAnsi="Times New Roman" w:cs="Times New Roman"/>
          <w:sz w:val="24"/>
          <w:szCs w:val="24"/>
        </w:rPr>
        <w:t xml:space="preserve">be used as appropriate. </w:t>
      </w:r>
    </w:p>
    <w:p w14:paraId="6698396F" w14:textId="77777777" w:rsidR="005739B7" w:rsidRPr="00B65C9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As in the previous pre-accession instruments, assistance will be deployed, to the benefit of the IPA III beneficiaries, through </w:t>
      </w:r>
      <w:r w:rsidRPr="36BE81E9">
        <w:rPr>
          <w:rFonts w:ascii="Times New Roman" w:hAnsi="Times New Roman" w:cs="Times New Roman"/>
          <w:b/>
          <w:bCs/>
          <w:sz w:val="24"/>
          <w:szCs w:val="24"/>
        </w:rPr>
        <w:t>annual or multi-annual action plans</w:t>
      </w:r>
      <w:r w:rsidRPr="36BE81E9">
        <w:rPr>
          <w:rFonts w:ascii="Times New Roman" w:hAnsi="Times New Roman" w:cs="Times New Roman"/>
          <w:sz w:val="24"/>
          <w:szCs w:val="24"/>
        </w:rPr>
        <w:t xml:space="preserve"> at national or regional level or through horizontal initiatives targeting specific types of partners (e.g. civil society) or cross-cutting issues (e.g. EU integration facility).</w:t>
      </w:r>
    </w:p>
    <w:p w14:paraId="78E04072" w14:textId="4DA60C53" w:rsidR="005739B7" w:rsidRDefault="00EE7B2F"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Bilateral and multi-country/regional programmes complement each other to meet the IPA III </w:t>
      </w:r>
      <w:r w:rsidR="007737FC">
        <w:rPr>
          <w:rFonts w:ascii="Times New Roman" w:hAnsi="Times New Roman" w:cs="Times New Roman"/>
          <w:sz w:val="24"/>
          <w:szCs w:val="24"/>
        </w:rPr>
        <w:t>R</w:t>
      </w:r>
      <w:r w:rsidRPr="36BE81E9">
        <w:rPr>
          <w:rFonts w:ascii="Times New Roman" w:hAnsi="Times New Roman" w:cs="Times New Roman"/>
          <w:sz w:val="24"/>
          <w:szCs w:val="24"/>
        </w:rPr>
        <w:t xml:space="preserve">egulation objectives. </w:t>
      </w:r>
      <w:r w:rsidR="005739B7" w:rsidRPr="36BE81E9">
        <w:rPr>
          <w:rFonts w:ascii="Times New Roman" w:hAnsi="Times New Roman" w:cs="Times New Roman"/>
          <w:sz w:val="24"/>
          <w:szCs w:val="24"/>
        </w:rPr>
        <w:t xml:space="preserve">IPA III will ensure synergy and </w:t>
      </w:r>
      <w:r w:rsidR="005739B7" w:rsidRPr="36BE81E9">
        <w:rPr>
          <w:rFonts w:ascii="Times New Roman" w:hAnsi="Times New Roman" w:cs="Times New Roman"/>
          <w:b/>
          <w:bCs/>
          <w:sz w:val="24"/>
          <w:szCs w:val="24"/>
        </w:rPr>
        <w:t>complementarity between bilateral and regional programmes</w:t>
      </w:r>
      <w:r w:rsidR="005739B7" w:rsidRPr="36BE81E9">
        <w:rPr>
          <w:rFonts w:ascii="Times New Roman" w:hAnsi="Times New Roman" w:cs="Times New Roman"/>
          <w:sz w:val="24"/>
          <w:szCs w:val="24"/>
        </w:rPr>
        <w:t>. The latter will primarily be mobilised to address issu</w:t>
      </w:r>
      <w:r w:rsidR="005739B7">
        <w:rPr>
          <w:rFonts w:ascii="Times New Roman" w:hAnsi="Times New Roman" w:cs="Times New Roman"/>
          <w:sz w:val="24"/>
          <w:szCs w:val="24"/>
        </w:rPr>
        <w:t xml:space="preserve">es of </w:t>
      </w:r>
      <w:r w:rsidR="005739B7" w:rsidRPr="36BE81E9">
        <w:rPr>
          <w:rFonts w:ascii="Times New Roman" w:hAnsi="Times New Roman" w:cs="Times New Roman"/>
          <w:sz w:val="24"/>
          <w:szCs w:val="24"/>
        </w:rPr>
        <w:t xml:space="preserve">regional nature, or when a regional approach will allow for greater efficiency. </w:t>
      </w:r>
    </w:p>
    <w:p w14:paraId="22998AB3"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particular multi-country actions would be programmed </w:t>
      </w:r>
      <w:r w:rsidRPr="36BE81E9">
        <w:rPr>
          <w:rFonts w:ascii="Times New Roman" w:hAnsi="Times New Roman" w:cs="Times New Roman"/>
          <w:i/>
          <w:iCs/>
          <w:sz w:val="24"/>
          <w:szCs w:val="24"/>
        </w:rPr>
        <w:t>inter alia</w:t>
      </w:r>
      <w:r w:rsidRPr="36BE81E9">
        <w:rPr>
          <w:rFonts w:ascii="Times New Roman" w:hAnsi="Times New Roman" w:cs="Times New Roman"/>
          <w:sz w:val="24"/>
          <w:szCs w:val="24"/>
        </w:rPr>
        <w:t xml:space="preserve"> a) when they would tackle well-defined regional objectives fostering regional cooperation and when issues are best tackled regionally because of their cross-border dimension; b)</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when it is opportune to follow a common methodology for instance to carry out benchmarking, diagnostic studies or exchanges of best practice (as in the case of TAIEX); c) in the case of Facilities/mechanisms which enable coherent common approaches and offer greater efficiency including economies of scale; d) when the nature and size of investments warrants them to be implemented under the Western Balkans Investment Framework. </w:t>
      </w:r>
    </w:p>
    <w:p w14:paraId="776AAA86" w14:textId="77777777" w:rsidR="005739B7" w:rsidRPr="00757D14" w:rsidRDefault="005739B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IPA III beneficiaries will be closely consulted on a</w:t>
      </w:r>
      <w:r w:rsidRPr="36BE81E9">
        <w:rPr>
          <w:rFonts w:ascii="Times New Roman" w:hAnsi="Times New Roman" w:cs="Times New Roman"/>
          <w:sz w:val="24"/>
          <w:szCs w:val="24"/>
        </w:rPr>
        <w:t>ctions programmed on a multi-country</w:t>
      </w:r>
      <w:r>
        <w:rPr>
          <w:rFonts w:ascii="Times New Roman" w:hAnsi="Times New Roman" w:cs="Times New Roman"/>
          <w:sz w:val="24"/>
          <w:szCs w:val="24"/>
        </w:rPr>
        <w:t xml:space="preserve"> or </w:t>
      </w:r>
      <w:r w:rsidRPr="36BE81E9">
        <w:rPr>
          <w:rFonts w:ascii="Times New Roman" w:hAnsi="Times New Roman" w:cs="Times New Roman"/>
          <w:sz w:val="24"/>
          <w:szCs w:val="24"/>
        </w:rPr>
        <w:t xml:space="preserve">regional </w:t>
      </w:r>
      <w:r>
        <w:rPr>
          <w:rFonts w:ascii="Times New Roman" w:hAnsi="Times New Roman" w:cs="Times New Roman"/>
          <w:sz w:val="24"/>
          <w:szCs w:val="24"/>
        </w:rPr>
        <w:t xml:space="preserve">level. This will </w:t>
      </w:r>
      <w:r w:rsidRPr="36BE81E9">
        <w:rPr>
          <w:rFonts w:ascii="Times New Roman" w:hAnsi="Times New Roman" w:cs="Times New Roman"/>
          <w:sz w:val="24"/>
          <w:szCs w:val="24"/>
        </w:rPr>
        <w:t xml:space="preserve">ensure close articulation between the regional and bilateral assistance in the drafting of the strategic response and that the </w:t>
      </w:r>
      <w:r>
        <w:rPr>
          <w:rFonts w:ascii="Times New Roman" w:hAnsi="Times New Roman" w:cs="Times New Roman"/>
          <w:sz w:val="24"/>
          <w:szCs w:val="24"/>
        </w:rPr>
        <w:t xml:space="preserve">needed </w:t>
      </w:r>
      <w:r w:rsidRPr="36BE81E9">
        <w:rPr>
          <w:rFonts w:ascii="Times New Roman" w:hAnsi="Times New Roman" w:cs="Times New Roman"/>
          <w:sz w:val="24"/>
          <w:szCs w:val="24"/>
        </w:rPr>
        <w:t xml:space="preserve">reforms needed </w:t>
      </w:r>
      <w:r>
        <w:rPr>
          <w:rFonts w:ascii="Times New Roman" w:hAnsi="Times New Roman" w:cs="Times New Roman"/>
          <w:sz w:val="24"/>
          <w:szCs w:val="24"/>
        </w:rPr>
        <w:t>the</w:t>
      </w:r>
      <w:r w:rsidRPr="36BE81E9">
        <w:rPr>
          <w:rFonts w:ascii="Times New Roman" w:hAnsi="Times New Roman" w:cs="Times New Roman"/>
          <w:sz w:val="24"/>
          <w:szCs w:val="24"/>
        </w:rPr>
        <w:t xml:space="preserve"> sustainability of infrastructure investments are carried out. </w:t>
      </w:r>
    </w:p>
    <w:p w14:paraId="521CCB0B" w14:textId="7633BDE4" w:rsidR="005739B7" w:rsidRPr="00CD187A"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view of the technical specificities of the assistance provided under Window 5, a detailed section on the preferred methods of implementation for that </w:t>
      </w:r>
      <w:r w:rsidR="007737FC">
        <w:rPr>
          <w:rFonts w:ascii="Times New Roman" w:hAnsi="Times New Roman" w:cs="Times New Roman"/>
          <w:sz w:val="24"/>
          <w:szCs w:val="24"/>
        </w:rPr>
        <w:t>w</w:t>
      </w:r>
      <w:r w:rsidRPr="36BE81E9">
        <w:rPr>
          <w:rFonts w:ascii="Times New Roman" w:hAnsi="Times New Roman" w:cs="Times New Roman"/>
          <w:sz w:val="24"/>
          <w:szCs w:val="24"/>
        </w:rPr>
        <w:t xml:space="preserve">indow is included in the relevant chapter. </w:t>
      </w:r>
    </w:p>
    <w:p w14:paraId="35A64248" w14:textId="77777777" w:rsidR="005739B7" w:rsidRPr="005742F9" w:rsidRDefault="005739B7" w:rsidP="005739B7">
      <w:pPr>
        <w:spacing w:after="120"/>
        <w:jc w:val="both"/>
        <w:rPr>
          <w:rFonts w:ascii="Times New Roman" w:hAnsi="Times New Roman" w:cs="Times New Roman"/>
          <w:sz w:val="24"/>
          <w:szCs w:val="24"/>
        </w:rPr>
        <w:sectPr w:rsidR="005739B7" w:rsidRPr="005742F9" w:rsidSect="0088570F">
          <w:pgSz w:w="11906" w:h="16838"/>
          <w:pgMar w:top="1417" w:right="1417" w:bottom="1417" w:left="1417" w:header="708" w:footer="708" w:gutter="0"/>
          <w:pgNumType w:start="1"/>
          <w:cols w:space="708"/>
          <w:docGrid w:linePitch="360"/>
        </w:sectPr>
      </w:pPr>
    </w:p>
    <w:p w14:paraId="4649A377" w14:textId="77777777" w:rsidR="005739B7" w:rsidRPr="00F13C46" w:rsidRDefault="005739B7" w:rsidP="005739B7">
      <w:pPr>
        <w:spacing w:after="120"/>
        <w:jc w:val="both"/>
        <w:rPr>
          <w:rFonts w:ascii="Times New Roman" w:hAnsi="Times New Roman" w:cs="Times New Roman"/>
          <w:b/>
          <w:bCs/>
          <w:sz w:val="32"/>
          <w:szCs w:val="32"/>
        </w:rPr>
      </w:pPr>
      <w:r w:rsidRPr="00F13C46">
        <w:rPr>
          <w:rFonts w:ascii="Times New Roman" w:hAnsi="Times New Roman" w:cs="Times New Roman"/>
          <w:b/>
          <w:bCs/>
          <w:sz w:val="32"/>
          <w:szCs w:val="32"/>
        </w:rPr>
        <w:lastRenderedPageBreak/>
        <w:t>IPA III Programming Process</w:t>
      </w:r>
    </w:p>
    <w:p w14:paraId="1210E7DF" w14:textId="77777777" w:rsidR="005739B7" w:rsidRPr="005742F9" w:rsidRDefault="005739B7" w:rsidP="005739B7">
      <w:pPr>
        <w:spacing w:after="120"/>
        <w:jc w:val="both"/>
        <w:rPr>
          <w:rFonts w:ascii="Times New Roman" w:hAnsi="Times New Roman" w:cs="Times New Roman"/>
          <w:sz w:val="24"/>
          <w:szCs w:val="24"/>
        </w:rPr>
      </w:pPr>
    </w:p>
    <w:p w14:paraId="2D9C0F1C" w14:textId="77777777" w:rsidR="005739B7" w:rsidRPr="005742F9" w:rsidRDefault="005739B7" w:rsidP="005739B7">
      <w:pPr>
        <w:spacing w:after="120"/>
        <w:jc w:val="both"/>
        <w:rPr>
          <w:rFonts w:ascii="Times New Roman" w:hAnsi="Times New Roman" w:cs="Times New Roman"/>
          <w:sz w:val="24"/>
          <w:szCs w:val="24"/>
        </w:rPr>
      </w:pPr>
      <w:r w:rsidRPr="005742F9">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09D94046" wp14:editId="6E8361B1">
            <wp:simplePos x="0" y="0"/>
            <wp:positionH relativeFrom="column">
              <wp:posOffset>1011943</wp:posOffset>
            </wp:positionH>
            <wp:positionV relativeFrom="paragraph">
              <wp:posOffset>34183</wp:posOffset>
            </wp:positionV>
            <wp:extent cx="6605517" cy="5179326"/>
            <wp:effectExtent l="0" t="19050" r="0" b="78740"/>
            <wp:wrapTight wrapText="bothSides">
              <wp:wrapPolygon edited="0">
                <wp:start x="10092" y="-79"/>
                <wp:lineTo x="9531" y="0"/>
                <wp:lineTo x="8223" y="874"/>
                <wp:lineTo x="8036" y="1510"/>
                <wp:lineTo x="7849" y="2542"/>
                <wp:lineTo x="4548" y="3019"/>
                <wp:lineTo x="2928" y="3416"/>
                <wp:lineTo x="2928" y="3814"/>
                <wp:lineTo x="2616" y="4131"/>
                <wp:lineTo x="2118" y="4926"/>
                <wp:lineTo x="2118" y="6436"/>
                <wp:lineTo x="2803" y="7627"/>
                <wp:lineTo x="4236" y="8898"/>
                <wp:lineTo x="3925" y="8898"/>
                <wp:lineTo x="3800" y="9296"/>
                <wp:lineTo x="3925" y="10170"/>
                <wp:lineTo x="1931" y="11282"/>
                <wp:lineTo x="1184" y="12553"/>
                <wp:lineTo x="1246" y="14063"/>
                <wp:lineTo x="2180" y="15255"/>
                <wp:lineTo x="2243" y="15255"/>
                <wp:lineTo x="4672" y="16526"/>
                <wp:lineTo x="4298" y="17797"/>
                <wp:lineTo x="4049" y="18353"/>
                <wp:lineTo x="3925" y="19148"/>
                <wp:lineTo x="4174" y="20339"/>
                <wp:lineTo x="4174" y="20498"/>
                <wp:lineTo x="5482" y="21611"/>
                <wp:lineTo x="5669" y="21611"/>
                <wp:lineTo x="6416" y="21769"/>
                <wp:lineTo x="6479" y="21849"/>
                <wp:lineTo x="14889" y="21849"/>
                <wp:lineTo x="14951" y="21769"/>
                <wp:lineTo x="15699" y="21611"/>
                <wp:lineTo x="15885" y="21611"/>
                <wp:lineTo x="17194" y="20498"/>
                <wp:lineTo x="17256" y="20339"/>
                <wp:lineTo x="17505" y="19068"/>
                <wp:lineTo x="17318" y="18353"/>
                <wp:lineTo x="17069" y="17797"/>
                <wp:lineTo x="16820" y="16526"/>
                <wp:lineTo x="19499" y="15255"/>
                <wp:lineTo x="20433" y="14063"/>
                <wp:lineTo x="20620" y="12633"/>
                <wp:lineTo x="20184" y="11759"/>
                <wp:lineTo x="19997" y="11203"/>
                <wp:lineTo x="18751" y="10567"/>
                <wp:lineTo x="17817" y="9772"/>
                <wp:lineTo x="17941" y="9296"/>
                <wp:lineTo x="17754" y="8898"/>
                <wp:lineTo x="19000" y="7627"/>
                <wp:lineTo x="19623" y="6436"/>
                <wp:lineTo x="19561" y="4926"/>
                <wp:lineTo x="18876" y="3973"/>
                <wp:lineTo x="18626" y="3814"/>
                <wp:lineTo x="18689" y="3496"/>
                <wp:lineTo x="17194" y="3099"/>
                <wp:lineTo x="13767" y="2542"/>
                <wp:lineTo x="13643" y="1986"/>
                <wp:lineTo x="13394" y="1271"/>
                <wp:lineTo x="13394" y="953"/>
                <wp:lineTo x="12023" y="0"/>
                <wp:lineTo x="11525" y="-79"/>
                <wp:lineTo x="10092" y="-79"/>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56FC6862" w14:textId="77777777" w:rsidR="005739B7" w:rsidRPr="005742F9" w:rsidRDefault="005739B7" w:rsidP="005739B7">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b/>
          <w:sz w:val="24"/>
          <w:szCs w:val="24"/>
          <w:u w:val="single"/>
        </w:rPr>
        <w:sectPr w:rsidR="005739B7" w:rsidRPr="005742F9" w:rsidSect="00BC4805">
          <w:pgSz w:w="16838" w:h="11906" w:orient="landscape"/>
          <w:pgMar w:top="1417" w:right="1417" w:bottom="1417" w:left="1417" w:header="708" w:footer="708" w:gutter="0"/>
          <w:cols w:space="708"/>
          <w:docGrid w:linePitch="360"/>
        </w:sectPr>
      </w:pPr>
    </w:p>
    <w:p w14:paraId="2C3D4ED2" w14:textId="77777777" w:rsidR="005739B7" w:rsidRPr="00B35F21" w:rsidRDefault="005739B7" w:rsidP="005739B7">
      <w:pPr>
        <w:pBdr>
          <w:top w:val="single" w:sz="4" w:space="1" w:color="auto"/>
          <w:left w:val="single" w:sz="4" w:space="1" w:color="auto"/>
          <w:bottom w:val="single" w:sz="4" w:space="1" w:color="auto"/>
          <w:right w:val="single" w:sz="4" w:space="1" w:color="auto"/>
        </w:pBdr>
        <w:spacing w:after="120"/>
        <w:jc w:val="center"/>
        <w:rPr>
          <w:rFonts w:ascii="Times New Roman" w:hAnsi="Times New Roman" w:cs="Times New Roman"/>
          <w:b/>
          <w:color w:val="000000" w:themeColor="text1"/>
        </w:rPr>
      </w:pPr>
    </w:p>
    <w:p w14:paraId="47059240" w14:textId="77777777" w:rsidR="005739B7" w:rsidRPr="00512CA4" w:rsidRDefault="005739B7" w:rsidP="005739B7">
      <w:pPr>
        <w:pStyle w:val="Balk1"/>
        <w:pBdr>
          <w:top w:val="single" w:sz="4" w:space="1" w:color="auto"/>
          <w:left w:val="single" w:sz="4" w:space="1" w:color="auto"/>
          <w:bottom w:val="single" w:sz="4" w:space="1" w:color="auto"/>
          <w:right w:val="single" w:sz="4" w:space="1" w:color="auto"/>
        </w:pBdr>
        <w:spacing w:before="0"/>
        <w:jc w:val="center"/>
        <w:rPr>
          <w:rFonts w:ascii="Times New Roman" w:hAnsi="Times New Roman" w:cs="Times New Roman"/>
          <w:b/>
          <w:bCs/>
          <w:color w:val="000000" w:themeColor="text1"/>
        </w:rPr>
      </w:pPr>
      <w:bookmarkStart w:id="6" w:name="_Toc46402479"/>
      <w:bookmarkStart w:id="7" w:name="_Toc46402554"/>
      <w:bookmarkStart w:id="8" w:name="_Toc46480668"/>
      <w:bookmarkStart w:id="9" w:name="_Toc55992235"/>
      <w:bookmarkStart w:id="10" w:name="_Toc56584492"/>
      <w:r w:rsidRPr="36BE81E9">
        <w:rPr>
          <w:rFonts w:ascii="Times New Roman" w:hAnsi="Times New Roman" w:cs="Times New Roman"/>
          <w:b/>
          <w:bCs/>
          <w:color w:val="000000" w:themeColor="text1"/>
        </w:rPr>
        <w:t>WINDOW 1 - RULE OF LAW, FUNDAMENTAL RIGHTS AND DEMOCRACY</w:t>
      </w:r>
      <w:bookmarkEnd w:id="6"/>
      <w:bookmarkEnd w:id="7"/>
      <w:bookmarkEnd w:id="8"/>
      <w:bookmarkEnd w:id="9"/>
      <w:bookmarkEnd w:id="10"/>
    </w:p>
    <w:p w14:paraId="3BC8716D" w14:textId="77777777" w:rsidR="005739B7" w:rsidRPr="00512CA4" w:rsidRDefault="005739B7" w:rsidP="005739B7">
      <w:pPr>
        <w:pBdr>
          <w:top w:val="single" w:sz="4" w:space="1" w:color="auto"/>
          <w:left w:val="single" w:sz="4" w:space="1" w:color="auto"/>
          <w:bottom w:val="single" w:sz="4" w:space="1" w:color="auto"/>
          <w:right w:val="single" w:sz="4" w:space="1" w:color="auto"/>
        </w:pBdr>
        <w:spacing w:after="120"/>
        <w:jc w:val="center"/>
        <w:rPr>
          <w:rFonts w:ascii="Times New Roman" w:hAnsi="Times New Roman" w:cs="Times New Roman"/>
          <w:b/>
          <w:color w:val="000000" w:themeColor="text1"/>
        </w:rPr>
      </w:pPr>
    </w:p>
    <w:p w14:paraId="13B423B7" w14:textId="77777777" w:rsidR="005739B7" w:rsidRDefault="005739B7" w:rsidP="005739B7">
      <w:pPr>
        <w:spacing w:after="0"/>
        <w:ind w:left="425"/>
        <w:rPr>
          <w:rFonts w:ascii="Times New Roman" w:hAnsi="Times New Roman" w:cs="Times New Roman"/>
          <w:b/>
          <w:bCs/>
        </w:rPr>
      </w:pPr>
    </w:p>
    <w:p w14:paraId="00CAD10B" w14:textId="77777777" w:rsidR="005739B7" w:rsidRDefault="005739B7" w:rsidP="005739B7">
      <w:pPr>
        <w:spacing w:after="0"/>
        <w:ind w:left="425"/>
        <w:rPr>
          <w:rFonts w:ascii="Times New Roman" w:hAnsi="Times New Roman" w:cs="Times New Roman"/>
          <w:b/>
          <w:bCs/>
        </w:rPr>
      </w:pPr>
    </w:p>
    <w:p w14:paraId="7FC230E4" w14:textId="77777777" w:rsidR="005739B7" w:rsidRPr="005742F9" w:rsidRDefault="005739B7" w:rsidP="005739B7">
      <w:pPr>
        <w:spacing w:after="0"/>
        <w:ind w:left="425"/>
        <w:rPr>
          <w:rFonts w:ascii="Times New Roman" w:hAnsi="Times New Roman" w:cs="Times New Roman"/>
          <w:b/>
          <w:bCs/>
        </w:rPr>
      </w:pPr>
    </w:p>
    <w:p w14:paraId="57DA86E0" w14:textId="77777777" w:rsidR="005739B7" w:rsidRPr="00F83B78" w:rsidRDefault="005739B7" w:rsidP="005739B7">
      <w:pPr>
        <w:numPr>
          <w:ilvl w:val="0"/>
          <w:numId w:val="10"/>
        </w:numPr>
        <w:spacing w:after="120" w:line="240" w:lineRule="auto"/>
        <w:ind w:left="426" w:hanging="426"/>
        <w:rPr>
          <w:rFonts w:ascii="Times New Roman" w:hAnsi="Times New Roman" w:cs="Times New Roman"/>
          <w:b/>
          <w:bCs/>
        </w:rPr>
      </w:pPr>
      <w:r w:rsidRPr="36BE81E9">
        <w:rPr>
          <w:rFonts w:ascii="Times New Roman" w:hAnsi="Times New Roman" w:cs="Times New Roman"/>
          <w:b/>
          <w:bCs/>
        </w:rPr>
        <w:t>Context Analysis</w:t>
      </w:r>
    </w:p>
    <w:p w14:paraId="757521E7" w14:textId="7E2E5A7F"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Pursuing reforms in the area of rule of law, fundamental rights, democracy and security remains one of the most pressing issues for the Western Balkans and Turkey. It is also the key benchmark against which the partners’ preparedness for becoming an EU Member State will be measured by the EU. These are fundamental values on which the EU is founded and are at the heart of the accession process, as reflected in the importance of</w:t>
      </w:r>
      <w:r w:rsidR="00BF3641">
        <w:rPr>
          <w:rFonts w:ascii="Times New Roman" w:hAnsi="Times New Roman" w:cs="Times New Roman"/>
          <w:sz w:val="24"/>
          <w:szCs w:val="24"/>
        </w:rPr>
        <w:t xml:space="preserve"> </w:t>
      </w:r>
      <w:r w:rsidR="00355C95">
        <w:rPr>
          <w:rFonts w:ascii="Times New Roman" w:hAnsi="Times New Roman" w:cs="Times New Roman"/>
          <w:sz w:val="24"/>
          <w:szCs w:val="24"/>
        </w:rPr>
        <w:t>c</w:t>
      </w:r>
      <w:r w:rsidR="00942107">
        <w:rPr>
          <w:rFonts w:ascii="Times New Roman" w:hAnsi="Times New Roman" w:cs="Times New Roman"/>
          <w:sz w:val="24"/>
          <w:szCs w:val="24"/>
        </w:rPr>
        <w:t>luster 1 (Fundamentals)</w:t>
      </w:r>
      <w:r w:rsidR="00BF3641">
        <w:rPr>
          <w:rFonts w:ascii="Times New Roman" w:hAnsi="Times New Roman" w:cs="Times New Roman"/>
          <w:sz w:val="24"/>
          <w:szCs w:val="24"/>
        </w:rPr>
        <w:t>, which includes</w:t>
      </w:r>
      <w:r w:rsidRPr="36BE81E9">
        <w:rPr>
          <w:rFonts w:ascii="Times New Roman" w:hAnsi="Times New Roman" w:cs="Times New Roman"/>
          <w:sz w:val="24"/>
          <w:szCs w:val="24"/>
        </w:rPr>
        <w:t xml:space="preserve"> chapters 23 </w:t>
      </w:r>
      <w:r>
        <w:rPr>
          <w:rFonts w:ascii="Times New Roman" w:hAnsi="Times New Roman" w:cs="Times New Roman"/>
          <w:sz w:val="24"/>
          <w:szCs w:val="24"/>
        </w:rPr>
        <w:t>(</w:t>
      </w:r>
      <w:r w:rsidRPr="00D80E5D">
        <w:rPr>
          <w:rFonts w:ascii="Times New Roman" w:hAnsi="Times New Roman" w:cs="Times New Roman"/>
          <w:sz w:val="24"/>
          <w:szCs w:val="24"/>
        </w:rPr>
        <w:t>Judiciary and fundamental rights</w:t>
      </w:r>
      <w:r>
        <w:rPr>
          <w:rFonts w:ascii="Times New Roman" w:hAnsi="Times New Roman" w:cs="Times New Roman"/>
          <w:sz w:val="24"/>
          <w:szCs w:val="24"/>
        </w:rPr>
        <w:t>)</w:t>
      </w:r>
      <w:r w:rsidRPr="00D80E5D">
        <w:rPr>
          <w:rFonts w:ascii="Times New Roman" w:hAnsi="Times New Roman" w:cs="Times New Roman"/>
          <w:sz w:val="24"/>
          <w:szCs w:val="24"/>
        </w:rPr>
        <w:t xml:space="preserve"> </w:t>
      </w:r>
      <w:r w:rsidRPr="36BE81E9">
        <w:rPr>
          <w:rFonts w:ascii="Times New Roman" w:hAnsi="Times New Roman" w:cs="Times New Roman"/>
          <w:sz w:val="24"/>
          <w:szCs w:val="24"/>
        </w:rPr>
        <w:t>and 24</w:t>
      </w:r>
      <w:r>
        <w:rPr>
          <w:rFonts w:ascii="Times New Roman" w:hAnsi="Times New Roman" w:cs="Times New Roman"/>
          <w:sz w:val="24"/>
          <w:szCs w:val="24"/>
        </w:rPr>
        <w:t xml:space="preserve"> (</w:t>
      </w:r>
      <w:r w:rsidRPr="00D80E5D">
        <w:rPr>
          <w:rFonts w:ascii="Times New Roman" w:hAnsi="Times New Roman" w:cs="Times New Roman"/>
          <w:sz w:val="24"/>
          <w:szCs w:val="24"/>
        </w:rPr>
        <w:t>Justice, freedom and security</w:t>
      </w:r>
      <w:r>
        <w:rPr>
          <w:rFonts w:ascii="Times New Roman" w:hAnsi="Times New Roman" w:cs="Times New Roman"/>
          <w:sz w:val="24"/>
          <w:szCs w:val="24"/>
        </w:rPr>
        <w:t>)</w:t>
      </w:r>
      <w:r w:rsidRPr="36BE81E9">
        <w:rPr>
          <w:rFonts w:ascii="Times New Roman" w:hAnsi="Times New Roman" w:cs="Times New Roman"/>
          <w:sz w:val="24"/>
          <w:szCs w:val="24"/>
        </w:rPr>
        <w:t>. The beneficiaries must embrace the fundamental EU values strongly and credibly. Any erosion of these values would be detrimental for the EU accession process</w:t>
      </w:r>
      <w:r>
        <w:rPr>
          <w:rFonts w:ascii="Times New Roman" w:hAnsi="Times New Roman" w:cs="Times New Roman"/>
          <w:sz w:val="24"/>
          <w:szCs w:val="24"/>
        </w:rPr>
        <w:t>,</w:t>
      </w:r>
      <w:r w:rsidRPr="36BE81E9">
        <w:rPr>
          <w:rFonts w:ascii="Times New Roman" w:hAnsi="Times New Roman" w:cs="Times New Roman"/>
          <w:sz w:val="24"/>
          <w:szCs w:val="24"/>
        </w:rPr>
        <w:t xml:space="preserve"> negatively affect citizens’ rights, </w:t>
      </w:r>
      <w:r>
        <w:rPr>
          <w:rFonts w:ascii="Times New Roman" w:hAnsi="Times New Roman" w:cs="Times New Roman"/>
          <w:sz w:val="24"/>
          <w:szCs w:val="24"/>
        </w:rPr>
        <w:t>and</w:t>
      </w:r>
      <w:r w:rsidRPr="36BE81E9">
        <w:rPr>
          <w:rFonts w:ascii="Times New Roman" w:hAnsi="Times New Roman" w:cs="Times New Roman"/>
          <w:sz w:val="24"/>
          <w:szCs w:val="24"/>
        </w:rPr>
        <w:t xml:space="preserve"> deter investment and trade </w:t>
      </w:r>
      <w:r>
        <w:rPr>
          <w:rFonts w:ascii="Times New Roman" w:hAnsi="Times New Roman" w:cs="Times New Roman"/>
          <w:sz w:val="24"/>
          <w:szCs w:val="24"/>
        </w:rPr>
        <w:t>thus</w:t>
      </w:r>
      <w:r w:rsidRPr="36BE81E9">
        <w:rPr>
          <w:rFonts w:ascii="Times New Roman" w:hAnsi="Times New Roman" w:cs="Times New Roman"/>
          <w:sz w:val="24"/>
          <w:szCs w:val="24"/>
        </w:rPr>
        <w:t xml:space="preserve"> seriously hamper their overall sustainable economic development. This might also have negative repercussions on the visa-free status en</w:t>
      </w:r>
      <w:r w:rsidR="00807881">
        <w:rPr>
          <w:rFonts w:ascii="Times New Roman" w:hAnsi="Times New Roman" w:cs="Times New Roman"/>
          <w:sz w:val="24"/>
          <w:szCs w:val="24"/>
        </w:rPr>
        <w:t>joyed by some of the IPA III beneficiaries</w:t>
      </w:r>
      <w:r w:rsidRPr="36BE81E9">
        <w:rPr>
          <w:rFonts w:ascii="Times New Roman" w:hAnsi="Times New Roman" w:cs="Times New Roman"/>
          <w:sz w:val="24"/>
          <w:szCs w:val="24"/>
        </w:rPr>
        <w:t>. Strengthening the rule of law is not only an institutional issue. It requires</w:t>
      </w:r>
      <w:r>
        <w:rPr>
          <w:rFonts w:ascii="Times New Roman" w:hAnsi="Times New Roman" w:cs="Times New Roman"/>
          <w:sz w:val="24"/>
          <w:szCs w:val="24"/>
        </w:rPr>
        <w:t xml:space="preserve"> profound and sustainable</w:t>
      </w:r>
      <w:r w:rsidRPr="36BE81E9">
        <w:rPr>
          <w:rFonts w:ascii="Times New Roman" w:hAnsi="Times New Roman" w:cs="Times New Roman"/>
          <w:sz w:val="24"/>
          <w:szCs w:val="24"/>
        </w:rPr>
        <w:t xml:space="preserve"> </w:t>
      </w:r>
      <w:r>
        <w:rPr>
          <w:rFonts w:ascii="Times New Roman" w:hAnsi="Times New Roman" w:cs="Times New Roman"/>
          <w:sz w:val="24"/>
          <w:szCs w:val="24"/>
        </w:rPr>
        <w:t xml:space="preserve">societal </w:t>
      </w:r>
      <w:r w:rsidRPr="36BE81E9">
        <w:rPr>
          <w:rFonts w:ascii="Times New Roman" w:hAnsi="Times New Roman" w:cs="Times New Roman"/>
          <w:sz w:val="24"/>
          <w:szCs w:val="24"/>
        </w:rPr>
        <w:t xml:space="preserve">transformation. </w:t>
      </w:r>
      <w:r>
        <w:rPr>
          <w:rFonts w:ascii="Times New Roman" w:hAnsi="Times New Roman" w:cs="Times New Roman"/>
          <w:sz w:val="24"/>
          <w:szCs w:val="24"/>
        </w:rPr>
        <w:t xml:space="preserve">All </w:t>
      </w:r>
      <w:r w:rsidRPr="0024117F">
        <w:rPr>
          <w:rFonts w:ascii="Times New Roman" w:hAnsi="Times New Roman" w:cs="Times New Roman"/>
          <w:sz w:val="24"/>
          <w:szCs w:val="24"/>
        </w:rPr>
        <w:t>IPA III beneficiaries</w:t>
      </w:r>
      <w:r>
        <w:rPr>
          <w:rFonts w:ascii="Times New Roman" w:hAnsi="Times New Roman" w:cs="Times New Roman"/>
          <w:sz w:val="24"/>
          <w:szCs w:val="24"/>
        </w:rPr>
        <w:t xml:space="preserve"> – like all EU Member States – are members of the Council of Europe, which has a </w:t>
      </w:r>
      <w:r w:rsidRPr="0024117F">
        <w:rPr>
          <w:rFonts w:ascii="Times New Roman" w:hAnsi="Times New Roman" w:cs="Times New Roman"/>
          <w:sz w:val="24"/>
          <w:szCs w:val="24"/>
        </w:rPr>
        <w:t>standard-setting role in the fields of human rights, rule of law and democracy</w:t>
      </w:r>
      <w:r>
        <w:rPr>
          <w:rFonts w:ascii="Times New Roman" w:hAnsi="Times New Roman" w:cs="Times New Roman"/>
          <w:sz w:val="24"/>
          <w:szCs w:val="24"/>
        </w:rPr>
        <w:t xml:space="preserve">, as emphasised in the </w:t>
      </w:r>
      <w:r w:rsidRPr="0024117F">
        <w:rPr>
          <w:rFonts w:ascii="Times New Roman" w:hAnsi="Times New Roman" w:cs="Times New Roman"/>
          <w:sz w:val="24"/>
          <w:szCs w:val="24"/>
        </w:rPr>
        <w:t>Council Conclusions on EU priorities for cooperation with the Council of Europe 2020-2022 of 13 July 2020</w:t>
      </w:r>
      <w:r w:rsidR="00125461">
        <w:rPr>
          <w:rStyle w:val="DipnotBavurusu"/>
          <w:rFonts w:ascii="Times New Roman" w:hAnsi="Times New Roman" w:cs="Times New Roman"/>
          <w:sz w:val="24"/>
          <w:szCs w:val="24"/>
        </w:rPr>
        <w:footnoteReference w:id="13"/>
      </w:r>
      <w:r w:rsidRPr="0024117F">
        <w:rPr>
          <w:rFonts w:ascii="Times New Roman" w:hAnsi="Times New Roman" w:cs="Times New Roman"/>
          <w:sz w:val="24"/>
          <w:szCs w:val="24"/>
        </w:rPr>
        <w:t>.</w:t>
      </w:r>
    </w:p>
    <w:p w14:paraId="29A295A7"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An independent, impartial and efficient </w:t>
      </w:r>
      <w:r w:rsidRPr="36BE81E9">
        <w:rPr>
          <w:rFonts w:ascii="Times New Roman" w:hAnsi="Times New Roman" w:cs="Times New Roman"/>
          <w:b/>
          <w:bCs/>
          <w:sz w:val="24"/>
          <w:szCs w:val="24"/>
        </w:rPr>
        <w:t>judicial system</w:t>
      </w:r>
      <w:r w:rsidRPr="36BE81E9">
        <w:rPr>
          <w:rFonts w:ascii="Times New Roman" w:hAnsi="Times New Roman" w:cs="Times New Roman"/>
          <w:sz w:val="24"/>
          <w:szCs w:val="24"/>
        </w:rPr>
        <w:t xml:space="preserve"> is a key feature of a modern democracy abiding by the rule of law. The independence of the judiciary and of individual judges is essential to ensure fairness and to hold the executive and legislative branches to account. This is a precondition for any democratic society based on the rule of law and for its sustainable economic development.</w:t>
      </w:r>
      <w:r>
        <w:rPr>
          <w:rFonts w:ascii="Times New Roman" w:hAnsi="Times New Roman" w:cs="Times New Roman"/>
          <w:sz w:val="24"/>
          <w:szCs w:val="24"/>
        </w:rPr>
        <w:t xml:space="preserve"> </w:t>
      </w:r>
    </w:p>
    <w:p w14:paraId="5D53EF86" w14:textId="23A408F1"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b/>
          <w:bCs/>
          <w:sz w:val="24"/>
          <w:szCs w:val="24"/>
        </w:rPr>
        <w:t>Corruption</w:t>
      </w:r>
      <w:r w:rsidRPr="36BE81E9">
        <w:rPr>
          <w:rFonts w:ascii="Times New Roman" w:hAnsi="Times New Roman" w:cs="Times New Roman"/>
          <w:sz w:val="24"/>
          <w:szCs w:val="24"/>
        </w:rPr>
        <w:t xml:space="preserve"> remains a serious problem in the candidate countries and potential candidates and must be rooted out without compromise. Strong and independent institutions are crucial to prevent and </w:t>
      </w:r>
      <w:r>
        <w:rPr>
          <w:rFonts w:ascii="Times New Roman" w:hAnsi="Times New Roman" w:cs="Times New Roman"/>
          <w:sz w:val="24"/>
          <w:szCs w:val="24"/>
        </w:rPr>
        <w:t xml:space="preserve">effectively </w:t>
      </w:r>
      <w:r w:rsidRPr="36BE81E9">
        <w:rPr>
          <w:rFonts w:ascii="Times New Roman" w:hAnsi="Times New Roman" w:cs="Times New Roman"/>
          <w:sz w:val="24"/>
          <w:szCs w:val="24"/>
        </w:rPr>
        <w:t xml:space="preserve">tackle </w:t>
      </w:r>
      <w:r w:rsidR="001A5388">
        <w:rPr>
          <w:rFonts w:ascii="Times New Roman" w:hAnsi="Times New Roman" w:cs="Times New Roman"/>
          <w:sz w:val="24"/>
          <w:szCs w:val="24"/>
        </w:rPr>
        <w:t xml:space="preserve">fraud and </w:t>
      </w:r>
      <w:r w:rsidRPr="36BE81E9">
        <w:rPr>
          <w:rFonts w:ascii="Times New Roman" w:hAnsi="Times New Roman" w:cs="Times New Roman"/>
          <w:sz w:val="24"/>
          <w:szCs w:val="24"/>
        </w:rPr>
        <w:t>corruption and conduct more effective investigations and prosecutions, leading to final court rulings that are enforced, and include dissuasive sanctions and robust track</w:t>
      </w:r>
      <w:r>
        <w:rPr>
          <w:rFonts w:ascii="Times New Roman" w:hAnsi="Times New Roman" w:cs="Times New Roman"/>
          <w:sz w:val="24"/>
          <w:szCs w:val="24"/>
        </w:rPr>
        <w:t>-</w:t>
      </w:r>
      <w:r w:rsidRPr="36BE81E9">
        <w:rPr>
          <w:rFonts w:ascii="Times New Roman" w:hAnsi="Times New Roman" w:cs="Times New Roman"/>
          <w:sz w:val="24"/>
          <w:szCs w:val="24"/>
        </w:rPr>
        <w:t xml:space="preserve">records. Beneficiaries must also put in place an effective and functional framework </w:t>
      </w:r>
      <w:r>
        <w:rPr>
          <w:rFonts w:ascii="Times New Roman" w:hAnsi="Times New Roman" w:cs="Times New Roman"/>
          <w:sz w:val="24"/>
          <w:szCs w:val="24"/>
        </w:rPr>
        <w:t>which is holistic in its approach, taking into account both repressive measures as well as prevention measures</w:t>
      </w:r>
      <w:r w:rsidRPr="36BE81E9">
        <w:rPr>
          <w:rFonts w:ascii="Times New Roman" w:hAnsi="Times New Roman" w:cs="Times New Roman"/>
          <w:sz w:val="24"/>
          <w:szCs w:val="24"/>
        </w:rPr>
        <w:t xml:space="preserve"> of corruption including </w:t>
      </w:r>
      <w:r>
        <w:rPr>
          <w:rFonts w:ascii="Times New Roman" w:hAnsi="Times New Roman" w:cs="Times New Roman"/>
          <w:sz w:val="24"/>
          <w:szCs w:val="24"/>
        </w:rPr>
        <w:t xml:space="preserve">through specialised anti-corruption institutions. It is also key that in the context of </w:t>
      </w:r>
      <w:r w:rsidRPr="36BE81E9">
        <w:rPr>
          <w:rFonts w:ascii="Times New Roman" w:hAnsi="Times New Roman" w:cs="Times New Roman"/>
          <w:sz w:val="24"/>
          <w:szCs w:val="24"/>
        </w:rPr>
        <w:t>public administration reform</w:t>
      </w:r>
      <w:r>
        <w:rPr>
          <w:rFonts w:ascii="Times New Roman" w:hAnsi="Times New Roman" w:cs="Times New Roman"/>
          <w:sz w:val="24"/>
          <w:szCs w:val="24"/>
        </w:rPr>
        <w:t>, efforts</w:t>
      </w:r>
      <w:r w:rsidRPr="36BE81E9">
        <w:rPr>
          <w:rFonts w:ascii="Times New Roman" w:hAnsi="Times New Roman" w:cs="Times New Roman"/>
          <w:sz w:val="24"/>
          <w:szCs w:val="24"/>
        </w:rPr>
        <w:t xml:space="preserve"> </w:t>
      </w:r>
      <w:r>
        <w:rPr>
          <w:rFonts w:ascii="Times New Roman" w:hAnsi="Times New Roman" w:cs="Times New Roman"/>
          <w:sz w:val="24"/>
          <w:szCs w:val="24"/>
        </w:rPr>
        <w:t xml:space="preserve">are carried out in order to </w:t>
      </w:r>
      <w:r w:rsidRPr="36BE81E9">
        <w:rPr>
          <w:rFonts w:ascii="Times New Roman" w:hAnsi="Times New Roman" w:cs="Times New Roman"/>
          <w:sz w:val="24"/>
          <w:szCs w:val="24"/>
        </w:rPr>
        <w:t>increase transparency and predictability in strategic planning, to improve inclusive and evidence-based policy and legislative development, to depoliticise civil service, to increase accountability of administration and to enhance sound public financial management.</w:t>
      </w:r>
      <w:r>
        <w:rPr>
          <w:rFonts w:ascii="Times New Roman" w:hAnsi="Times New Roman" w:cs="Times New Roman"/>
          <w:sz w:val="24"/>
          <w:szCs w:val="24"/>
        </w:rPr>
        <w:t xml:space="preserve"> Special attention should be given to development of measurements and indicators of corruption so that a thorough follow-up of the outcomes is carried out.</w:t>
      </w:r>
      <w:r w:rsidRPr="36BE81E9">
        <w:rPr>
          <w:rFonts w:ascii="Times New Roman" w:hAnsi="Times New Roman" w:cs="Times New Roman"/>
          <w:sz w:val="24"/>
          <w:szCs w:val="24"/>
        </w:rPr>
        <w:t xml:space="preserve"> More transparency </w:t>
      </w:r>
      <w:r>
        <w:rPr>
          <w:rFonts w:ascii="Times New Roman" w:hAnsi="Times New Roman" w:cs="Times New Roman"/>
          <w:sz w:val="24"/>
          <w:szCs w:val="24"/>
        </w:rPr>
        <w:t xml:space="preserve">and accountability are </w:t>
      </w:r>
      <w:r w:rsidRPr="36BE81E9">
        <w:rPr>
          <w:rFonts w:ascii="Times New Roman" w:hAnsi="Times New Roman" w:cs="Times New Roman"/>
          <w:sz w:val="24"/>
          <w:szCs w:val="24"/>
        </w:rPr>
        <w:t>needed in the management of public funds</w:t>
      </w:r>
      <w:r>
        <w:rPr>
          <w:rFonts w:ascii="Times New Roman" w:hAnsi="Times New Roman" w:cs="Times New Roman"/>
          <w:sz w:val="24"/>
          <w:szCs w:val="24"/>
        </w:rPr>
        <w:t>, in particular taking into acc</w:t>
      </w:r>
      <w:r w:rsidR="001E43F9">
        <w:rPr>
          <w:rFonts w:ascii="Times New Roman" w:hAnsi="Times New Roman" w:cs="Times New Roman"/>
          <w:sz w:val="24"/>
          <w:szCs w:val="24"/>
        </w:rPr>
        <w:t>ount the current COVID-</w:t>
      </w:r>
      <w:r>
        <w:rPr>
          <w:rFonts w:ascii="Times New Roman" w:hAnsi="Times New Roman" w:cs="Times New Roman"/>
          <w:sz w:val="24"/>
          <w:szCs w:val="24"/>
        </w:rPr>
        <w:t xml:space="preserve">19 pandemic, </w:t>
      </w:r>
      <w:r w:rsidRPr="36BE81E9">
        <w:rPr>
          <w:rFonts w:ascii="Times New Roman" w:hAnsi="Times New Roman" w:cs="Times New Roman"/>
          <w:sz w:val="24"/>
          <w:szCs w:val="24"/>
        </w:rPr>
        <w:t xml:space="preserve">at all stages in </w:t>
      </w:r>
      <w:r w:rsidRPr="36BE81E9">
        <w:rPr>
          <w:rFonts w:ascii="Times New Roman" w:hAnsi="Times New Roman" w:cs="Times New Roman"/>
          <w:sz w:val="24"/>
          <w:szCs w:val="24"/>
        </w:rPr>
        <w:lastRenderedPageBreak/>
        <w:t xml:space="preserve">public procurement and concessions, an area particularly prone to corruption. </w:t>
      </w:r>
      <w:r w:rsidR="00BB49F2" w:rsidRPr="00DE4BC4">
        <w:rPr>
          <w:rFonts w:ascii="Times New Roman" w:hAnsi="Times New Roman" w:cs="Times New Roman"/>
          <w:sz w:val="24"/>
          <w:szCs w:val="24"/>
        </w:rPr>
        <w:t>Swift and effective cooperation between relevant European Union bodies</w:t>
      </w:r>
      <w:r w:rsidR="00BB49F2">
        <w:rPr>
          <w:rFonts w:ascii="Times New Roman" w:hAnsi="Times New Roman" w:cs="Times New Roman"/>
          <w:sz w:val="24"/>
          <w:szCs w:val="24"/>
        </w:rPr>
        <w:t>, such as the European Anti-Fraud Office and the European Public Prosecutor’s Office,</w:t>
      </w:r>
      <w:r w:rsidR="00BB49F2" w:rsidRPr="00DE4BC4">
        <w:rPr>
          <w:rFonts w:ascii="Times New Roman" w:hAnsi="Times New Roman" w:cs="Times New Roman"/>
          <w:sz w:val="24"/>
          <w:szCs w:val="24"/>
        </w:rPr>
        <w:t xml:space="preserve"> and the candidate countries and potential candidates’ competent authorities is vital in the fight against illegal activities affecting the Union’s financial interests, including fraud and corruption.</w:t>
      </w:r>
    </w:p>
    <w:p w14:paraId="7818C8EF" w14:textId="4B98213C"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b/>
          <w:bCs/>
          <w:sz w:val="24"/>
          <w:szCs w:val="24"/>
        </w:rPr>
        <w:t>Organised crime</w:t>
      </w:r>
      <w:r w:rsidRPr="36BE81E9">
        <w:rPr>
          <w:rFonts w:ascii="Times New Roman" w:hAnsi="Times New Roman" w:cs="Times New Roman"/>
          <w:sz w:val="24"/>
          <w:szCs w:val="24"/>
        </w:rPr>
        <w:t xml:space="preserve">'s foothold in the region remains strong, whether in terms of trafficking in human beings, particularly women and children primarily for the purpose of sexual exploitation, smuggling of migrants, drugs, firearms and weapons, </w:t>
      </w:r>
      <w:r>
        <w:rPr>
          <w:rFonts w:ascii="Times New Roman" w:hAnsi="Times New Roman" w:cs="Times New Roman"/>
          <w:sz w:val="24"/>
          <w:szCs w:val="24"/>
        </w:rPr>
        <w:t xml:space="preserve">organised property crime, </w:t>
      </w:r>
      <w:r w:rsidRPr="36BE81E9">
        <w:rPr>
          <w:rFonts w:ascii="Times New Roman" w:hAnsi="Times New Roman" w:cs="Times New Roman"/>
          <w:sz w:val="24"/>
          <w:szCs w:val="24"/>
        </w:rPr>
        <w:t xml:space="preserve">or the risk of criminal infiltration of the political and economic systems. Important smuggling routes run through Turkey and the Western Balkans. Powerful criminal networks with an international reach operate from and via this region. </w:t>
      </w:r>
      <w:r>
        <w:rPr>
          <w:rFonts w:ascii="Times New Roman" w:hAnsi="Times New Roman" w:cs="Times New Roman"/>
          <w:sz w:val="24"/>
          <w:szCs w:val="24"/>
        </w:rPr>
        <w:t>C</w:t>
      </w:r>
      <w:r w:rsidRPr="00F30CE8">
        <w:rPr>
          <w:rFonts w:ascii="Times New Roman" w:hAnsi="Times New Roman" w:cs="Times New Roman"/>
          <w:sz w:val="24"/>
          <w:szCs w:val="24"/>
        </w:rPr>
        <w:t>riminal re-distribution of stolen property</w:t>
      </w:r>
      <w:r>
        <w:rPr>
          <w:rFonts w:ascii="Times New Roman" w:hAnsi="Times New Roman" w:cs="Times New Roman"/>
          <w:sz w:val="24"/>
          <w:szCs w:val="24"/>
        </w:rPr>
        <w:t xml:space="preserve"> (fencing)</w:t>
      </w:r>
      <w:r w:rsidRPr="00F30CE8">
        <w:rPr>
          <w:rFonts w:ascii="Times New Roman" w:hAnsi="Times New Roman" w:cs="Times New Roman"/>
          <w:sz w:val="24"/>
          <w:szCs w:val="24"/>
        </w:rPr>
        <w:t xml:space="preserve"> </w:t>
      </w:r>
      <w:r>
        <w:rPr>
          <w:rFonts w:ascii="Times New Roman" w:hAnsi="Times New Roman" w:cs="Times New Roman"/>
          <w:sz w:val="24"/>
          <w:szCs w:val="24"/>
        </w:rPr>
        <w:t>is also an issue of concern.</w:t>
      </w:r>
      <w:r w:rsidR="009D09DE">
        <w:rPr>
          <w:rFonts w:ascii="Times New Roman" w:hAnsi="Times New Roman" w:cs="Times New Roman"/>
          <w:sz w:val="24"/>
          <w:szCs w:val="24"/>
        </w:rPr>
        <w:t xml:space="preserve"> </w:t>
      </w:r>
      <w:r w:rsidR="009D09DE" w:rsidRPr="009D09DE">
        <w:rPr>
          <w:rFonts w:ascii="Times New Roman" w:hAnsi="Times New Roman" w:cs="Times New Roman"/>
          <w:sz w:val="24"/>
          <w:szCs w:val="24"/>
          <w:lang w:val="en-US"/>
        </w:rPr>
        <w:t>Illicit financial flows threaten the respect of the rule of law, the accountability of public institutions and drains jurisdictions of capital and tax revenues</w:t>
      </w:r>
      <w:r w:rsidR="009D09DE">
        <w:rPr>
          <w:rFonts w:ascii="Times New Roman" w:hAnsi="Times New Roman" w:cs="Times New Roman"/>
          <w:sz w:val="24"/>
          <w:szCs w:val="24"/>
          <w:lang w:val="en-US"/>
        </w:rPr>
        <w:t>.</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Police and judicial cooperation in criminal justice, law enforcement investigations and witness protection need to be further stepped up both among the beneficiaries and with the EU. </w:t>
      </w:r>
      <w:r>
        <w:rPr>
          <w:rFonts w:ascii="Times New Roman" w:hAnsi="Times New Roman" w:cs="Times New Roman"/>
          <w:sz w:val="24"/>
          <w:szCs w:val="24"/>
        </w:rPr>
        <w:t>P</w:t>
      </w:r>
      <w:r w:rsidRPr="008F2349">
        <w:rPr>
          <w:rFonts w:ascii="Times New Roman" w:hAnsi="Times New Roman" w:cs="Times New Roman"/>
          <w:sz w:val="24"/>
          <w:szCs w:val="24"/>
        </w:rPr>
        <w:t>roactiveness of authorities in identifying and addressing</w:t>
      </w:r>
      <w:r>
        <w:rPr>
          <w:rFonts w:ascii="Times New Roman" w:hAnsi="Times New Roman" w:cs="Times New Roman"/>
          <w:sz w:val="24"/>
          <w:szCs w:val="24"/>
        </w:rPr>
        <w:t xml:space="preserve"> </w:t>
      </w:r>
      <w:r w:rsidR="008C3CA9">
        <w:rPr>
          <w:rFonts w:ascii="Times New Roman" w:hAnsi="Times New Roman" w:cs="Times New Roman"/>
          <w:sz w:val="24"/>
          <w:szCs w:val="24"/>
        </w:rPr>
        <w:t xml:space="preserve">fraud, </w:t>
      </w:r>
      <w:r>
        <w:rPr>
          <w:rFonts w:ascii="Times New Roman" w:hAnsi="Times New Roman" w:cs="Times New Roman"/>
          <w:sz w:val="24"/>
          <w:szCs w:val="24"/>
        </w:rPr>
        <w:t>corruption and organised crime</w:t>
      </w:r>
      <w:r w:rsidRPr="008F2349">
        <w:rPr>
          <w:rFonts w:ascii="Times New Roman" w:hAnsi="Times New Roman" w:cs="Times New Roman"/>
          <w:sz w:val="24"/>
          <w:szCs w:val="24"/>
        </w:rPr>
        <w:t>, in developing internal investigation bodies, in properly hand</w:t>
      </w:r>
      <w:r>
        <w:rPr>
          <w:rFonts w:ascii="Times New Roman" w:hAnsi="Times New Roman" w:cs="Times New Roman"/>
          <w:sz w:val="24"/>
          <w:szCs w:val="24"/>
        </w:rPr>
        <w:t>ling the exchanged information,</w:t>
      </w:r>
      <w:r w:rsidRPr="008F2349">
        <w:rPr>
          <w:rFonts w:ascii="Times New Roman" w:hAnsi="Times New Roman" w:cs="Times New Roman"/>
          <w:sz w:val="24"/>
          <w:szCs w:val="24"/>
        </w:rPr>
        <w:t xml:space="preserve"> </w:t>
      </w:r>
      <w:r w:rsidRPr="36BE81E9">
        <w:rPr>
          <w:rFonts w:ascii="Times New Roman" w:hAnsi="Times New Roman" w:cs="Times New Roman"/>
          <w:sz w:val="24"/>
          <w:szCs w:val="24"/>
        </w:rPr>
        <w:t>and in using the instruments and tools provided by the EU Agencies is needed. A concrete and sustained track</w:t>
      </w:r>
      <w:r>
        <w:rPr>
          <w:rFonts w:ascii="Times New Roman" w:hAnsi="Times New Roman" w:cs="Times New Roman"/>
          <w:sz w:val="24"/>
          <w:szCs w:val="24"/>
        </w:rPr>
        <w:t>-</w:t>
      </w:r>
      <w:r w:rsidRPr="36BE81E9">
        <w:rPr>
          <w:rFonts w:ascii="Times New Roman" w:hAnsi="Times New Roman" w:cs="Times New Roman"/>
          <w:sz w:val="24"/>
          <w:szCs w:val="24"/>
        </w:rPr>
        <w:t xml:space="preserve">record in tackling organised crime and money laundering should be established or strengthened as a matter of urgency. Cybercrime continues to be a threat to the EU and the IPA III beneficiaries and needs to be effectively addressed. </w:t>
      </w:r>
    </w:p>
    <w:p w14:paraId="69E1702F" w14:textId="6B982C9A"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There is a need for a robust and well-coordinated response in preventing and countering all forms of </w:t>
      </w:r>
      <w:r w:rsidRPr="36BE81E9">
        <w:rPr>
          <w:rFonts w:ascii="Times New Roman" w:hAnsi="Times New Roman" w:cs="Times New Roman"/>
          <w:b/>
          <w:bCs/>
          <w:sz w:val="24"/>
          <w:szCs w:val="24"/>
        </w:rPr>
        <w:t>radicalisation and violent extremism</w:t>
      </w:r>
      <w:r w:rsidRPr="36BE81E9">
        <w:rPr>
          <w:rFonts w:ascii="Times New Roman" w:hAnsi="Times New Roman" w:cs="Times New Roman"/>
          <w:sz w:val="24"/>
          <w:szCs w:val="24"/>
        </w:rPr>
        <w:t xml:space="preserve"> spreading in society</w:t>
      </w:r>
      <w:r>
        <w:rPr>
          <w:rFonts w:ascii="Times New Roman" w:hAnsi="Times New Roman" w:cs="Times New Roman"/>
          <w:sz w:val="24"/>
          <w:szCs w:val="24"/>
        </w:rPr>
        <w:t>.</w:t>
      </w:r>
      <w:r w:rsidRPr="36BE81E9">
        <w:rPr>
          <w:rFonts w:ascii="Times New Roman" w:hAnsi="Times New Roman" w:cs="Times New Roman"/>
          <w:sz w:val="24"/>
          <w:szCs w:val="24"/>
        </w:rPr>
        <w:t xml:space="preserve"> Likewise fight against </w:t>
      </w:r>
      <w:r w:rsidRPr="36BE81E9">
        <w:rPr>
          <w:rFonts w:ascii="Times New Roman" w:hAnsi="Times New Roman" w:cs="Times New Roman"/>
          <w:b/>
          <w:bCs/>
          <w:sz w:val="24"/>
          <w:szCs w:val="24"/>
        </w:rPr>
        <w:t>terrorism</w:t>
      </w:r>
      <w:r w:rsidRPr="36BE81E9">
        <w:rPr>
          <w:rFonts w:ascii="Times New Roman" w:hAnsi="Times New Roman" w:cs="Times New Roman"/>
          <w:sz w:val="24"/>
          <w:szCs w:val="24"/>
        </w:rPr>
        <w:t xml:space="preserve"> and addressing the challenges posed by </w:t>
      </w:r>
      <w:r>
        <w:rPr>
          <w:rFonts w:ascii="Times New Roman" w:hAnsi="Times New Roman" w:cs="Times New Roman"/>
          <w:sz w:val="24"/>
          <w:szCs w:val="24"/>
        </w:rPr>
        <w:t xml:space="preserve">returning </w:t>
      </w:r>
      <w:r w:rsidRPr="36BE81E9">
        <w:rPr>
          <w:rFonts w:ascii="Times New Roman" w:hAnsi="Times New Roman" w:cs="Times New Roman"/>
          <w:sz w:val="24"/>
          <w:szCs w:val="24"/>
        </w:rPr>
        <w:t>foreign terrorist fighters and their families</w:t>
      </w:r>
      <w:r>
        <w:rPr>
          <w:rFonts w:ascii="Times New Roman" w:hAnsi="Times New Roman" w:cs="Times New Roman"/>
          <w:sz w:val="24"/>
          <w:szCs w:val="24"/>
        </w:rPr>
        <w:t>, including their reintegration in the local communities,</w:t>
      </w:r>
      <w:r w:rsidR="00895475">
        <w:rPr>
          <w:rFonts w:ascii="Times New Roman" w:hAnsi="Times New Roman" w:cs="Times New Roman"/>
          <w:sz w:val="24"/>
          <w:szCs w:val="24"/>
        </w:rPr>
        <w:t xml:space="preserve"> </w:t>
      </w:r>
      <w:r w:rsidRPr="36BE81E9">
        <w:rPr>
          <w:rFonts w:ascii="Times New Roman" w:hAnsi="Times New Roman" w:cs="Times New Roman"/>
          <w:sz w:val="24"/>
          <w:szCs w:val="24"/>
        </w:rPr>
        <w:t>are key for reinforcing social cohesion. The region was at the origin of a large number of foreign terrorist fighters going to Syria and Iraq. This demonstrates the importance of having proper legal and strategic frameworks – aligned with EU policy – to prevent terrorism and radicalisation in the region. Returning and repatriated Foreign Terrorist Fighters and their family members pose significant long-term challenges, as regards both investigation, prosecution and bringing to justice as well as de-radicalisation, rehabilitation and reintegration. The local level plays a key role to prevent radicalisation. A multi-agency approach is crucial. Effective measures to address radicalisation in prison should also be in place. Moreover, pro-active information exchange between law enforcement authorities is a key security requirement for the region and the EU. More needs also to be done on the financing aspects of terrorism. Evolving threat pictures require more work on the protection of critical infrastructure, the protection of public spaces, chemical, biological, radiological and nuclear (CBRN) related threats and new and emerging threats such as unmanned aircraft systems (“drones”).</w:t>
      </w:r>
    </w:p>
    <w:p w14:paraId="0899A28E" w14:textId="20568EFD" w:rsidR="005739B7" w:rsidRPr="005742F9" w:rsidRDefault="005739B7" w:rsidP="007A593C">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w:t>
      </w:r>
      <w:r w:rsidR="00845E40">
        <w:rPr>
          <w:rFonts w:ascii="Times New Roman" w:hAnsi="Times New Roman" w:cs="Times New Roman"/>
          <w:sz w:val="24"/>
          <w:szCs w:val="24"/>
        </w:rPr>
        <w:t xml:space="preserve"> governance</w:t>
      </w:r>
      <w:r w:rsidRPr="36BE81E9">
        <w:rPr>
          <w:rFonts w:ascii="Times New Roman" w:hAnsi="Times New Roman" w:cs="Times New Roman"/>
          <w:sz w:val="24"/>
          <w:szCs w:val="24"/>
        </w:rPr>
        <w:t xml:space="preserve"> management of mixed </w:t>
      </w:r>
      <w:r w:rsidRPr="36BE81E9">
        <w:rPr>
          <w:rFonts w:ascii="Times New Roman" w:hAnsi="Times New Roman" w:cs="Times New Roman"/>
          <w:b/>
          <w:bCs/>
          <w:sz w:val="24"/>
          <w:szCs w:val="24"/>
        </w:rPr>
        <w:t>migration</w:t>
      </w:r>
      <w:r w:rsidRPr="36BE81E9">
        <w:rPr>
          <w:rFonts w:ascii="Times New Roman" w:hAnsi="Times New Roman" w:cs="Times New Roman"/>
          <w:sz w:val="24"/>
          <w:szCs w:val="24"/>
        </w:rPr>
        <w:t xml:space="preserve"> flows remains one of the key challenges for both the EU, the Western Balkans and Turkey. The interlinkage and interdependence of the European Union and the enlargement region has been evident during the European migration and refugee crisis in 2015-2016. Cooperation continued through the joint work along the Eastern Mediterranean/Western Balkans migration routes. In this context, the 2016 EU-Turkey statement is producing clear results, including significantly reduced numbers of irregular arrivals on this route. However, more needs to be done to better equip the IPA III beneficiaries to manage migration, </w:t>
      </w:r>
      <w:r>
        <w:rPr>
          <w:rFonts w:ascii="Times New Roman" w:hAnsi="Times New Roman" w:cs="Times New Roman"/>
          <w:sz w:val="24"/>
          <w:szCs w:val="24"/>
        </w:rPr>
        <w:t>fight migrant smuggling,</w:t>
      </w:r>
      <w:r w:rsidRPr="36BE81E9">
        <w:rPr>
          <w:rFonts w:ascii="Times New Roman" w:hAnsi="Times New Roman" w:cs="Times New Roman"/>
          <w:sz w:val="24"/>
          <w:szCs w:val="24"/>
        </w:rPr>
        <w:t xml:space="preserve"> including efforts to align with the institutional and legal setup of border management in the EU as well as to better manage borders/boundaries and irregular migration, while respecting the fundamental rights of the </w:t>
      </w:r>
      <w:r w:rsidRPr="36BE81E9">
        <w:rPr>
          <w:rFonts w:ascii="Times New Roman" w:hAnsi="Times New Roman" w:cs="Times New Roman"/>
          <w:sz w:val="24"/>
          <w:szCs w:val="24"/>
        </w:rPr>
        <w:lastRenderedPageBreak/>
        <w:t>individuals</w:t>
      </w:r>
      <w:r w:rsidR="00E97852">
        <w:rPr>
          <w:rFonts w:ascii="Times New Roman" w:hAnsi="Times New Roman" w:cs="Times New Roman"/>
          <w:sz w:val="24"/>
          <w:szCs w:val="24"/>
        </w:rPr>
        <w:t>, as enshrined by the Charter of Fundamental Rights</w:t>
      </w:r>
      <w:r w:rsidRPr="36BE81E9">
        <w:rPr>
          <w:rFonts w:ascii="Times New Roman" w:hAnsi="Times New Roman" w:cs="Times New Roman"/>
          <w:sz w:val="24"/>
          <w:szCs w:val="24"/>
        </w:rPr>
        <w:t>. This include</w:t>
      </w:r>
      <w:r>
        <w:rPr>
          <w:rFonts w:ascii="Times New Roman" w:hAnsi="Times New Roman" w:cs="Times New Roman"/>
          <w:sz w:val="24"/>
          <w:szCs w:val="24"/>
        </w:rPr>
        <w:t>s</w:t>
      </w:r>
      <w:r w:rsidRPr="36BE81E9">
        <w:rPr>
          <w:rFonts w:ascii="Times New Roman" w:hAnsi="Times New Roman" w:cs="Times New Roman"/>
          <w:sz w:val="24"/>
          <w:szCs w:val="24"/>
        </w:rPr>
        <w:t xml:space="preserve"> </w:t>
      </w:r>
      <w:r w:rsidR="007A593C">
        <w:rPr>
          <w:rFonts w:ascii="Times New Roman" w:hAnsi="Times New Roman" w:cs="Times New Roman"/>
          <w:sz w:val="24"/>
          <w:szCs w:val="24"/>
        </w:rPr>
        <w:t xml:space="preserve">empowering </w:t>
      </w:r>
      <w:r w:rsidR="007A593C" w:rsidRPr="00BF35E3">
        <w:rPr>
          <w:rFonts w:ascii="Times New Roman" w:hAnsi="Times New Roman" w:cs="Times New Roman"/>
          <w:sz w:val="24"/>
          <w:szCs w:val="24"/>
        </w:rPr>
        <w:t>migrants and communities to strengthen their resilience</w:t>
      </w:r>
      <w:r w:rsidR="007A593C">
        <w:rPr>
          <w:rFonts w:ascii="Times New Roman" w:hAnsi="Times New Roman" w:cs="Times New Roman"/>
          <w:sz w:val="24"/>
          <w:szCs w:val="24"/>
        </w:rPr>
        <w:t xml:space="preserve"> </w:t>
      </w:r>
      <w:r w:rsidR="007A593C" w:rsidRPr="00BF35E3">
        <w:rPr>
          <w:rFonts w:ascii="Times New Roman" w:hAnsi="Times New Roman" w:cs="Times New Roman"/>
          <w:sz w:val="24"/>
          <w:szCs w:val="24"/>
        </w:rPr>
        <w:t>in situations of vulnerability,</w:t>
      </w:r>
      <w:r w:rsidR="007A593C">
        <w:rPr>
          <w:rFonts w:ascii="Times New Roman" w:hAnsi="Times New Roman" w:cs="Times New Roman"/>
          <w:sz w:val="24"/>
          <w:szCs w:val="24"/>
        </w:rPr>
        <w:t xml:space="preserve"> </w:t>
      </w:r>
      <w:r w:rsidRPr="36BE81E9">
        <w:rPr>
          <w:rFonts w:ascii="Times New Roman" w:hAnsi="Times New Roman" w:cs="Times New Roman"/>
          <w:sz w:val="24"/>
          <w:szCs w:val="24"/>
        </w:rPr>
        <w:t>responding effectively to the specific needs and risks facing refugee</w:t>
      </w:r>
      <w:r>
        <w:rPr>
          <w:rFonts w:ascii="Times New Roman" w:hAnsi="Times New Roman" w:cs="Times New Roman"/>
          <w:sz w:val="24"/>
          <w:szCs w:val="24"/>
        </w:rPr>
        <w:t>s</w:t>
      </w:r>
      <w:r w:rsidRPr="36BE81E9">
        <w:rPr>
          <w:rFonts w:ascii="Times New Roman" w:hAnsi="Times New Roman" w:cs="Times New Roman"/>
          <w:sz w:val="24"/>
          <w:szCs w:val="24"/>
        </w:rPr>
        <w:t xml:space="preserve"> and migrant</w:t>
      </w:r>
      <w:r>
        <w:rPr>
          <w:rFonts w:ascii="Times New Roman" w:hAnsi="Times New Roman" w:cs="Times New Roman"/>
          <w:sz w:val="24"/>
          <w:szCs w:val="24"/>
        </w:rPr>
        <w:t>s, including</w:t>
      </w:r>
      <w:r w:rsidRPr="36BE81E9">
        <w:rPr>
          <w:rFonts w:ascii="Times New Roman" w:hAnsi="Times New Roman" w:cs="Times New Roman"/>
          <w:sz w:val="24"/>
          <w:szCs w:val="24"/>
        </w:rPr>
        <w:t xml:space="preserve"> women and children</w:t>
      </w:r>
      <w:r>
        <w:rPr>
          <w:rFonts w:ascii="Times New Roman" w:hAnsi="Times New Roman" w:cs="Times New Roman"/>
          <w:sz w:val="24"/>
          <w:szCs w:val="24"/>
        </w:rPr>
        <w:t>, as well as to the risk of their radicalisation</w:t>
      </w:r>
      <w:r w:rsidRPr="36BE81E9">
        <w:rPr>
          <w:rFonts w:ascii="Times New Roman" w:hAnsi="Times New Roman" w:cs="Times New Roman"/>
          <w:sz w:val="24"/>
          <w:szCs w:val="24"/>
        </w:rPr>
        <w:t>. Further efforts are needed to ensure that asylum procedures are fair and effective in the whole enlargement region. In light of the unpredictable nature of migratory flows, it is also important to have in place effective contingency plans.</w:t>
      </w:r>
      <w:r>
        <w:rPr>
          <w:rFonts w:ascii="Times New Roman" w:hAnsi="Times New Roman" w:cs="Times New Roman"/>
          <w:sz w:val="24"/>
          <w:szCs w:val="24"/>
        </w:rPr>
        <w:t xml:space="preserve"> To this end, the timely exchange of relevant data and information is necessary for a clear and complete situational overview and adequate measures to prevent the exploitation by terrorist organisations.</w:t>
      </w:r>
    </w:p>
    <w:p w14:paraId="08FDCF25" w14:textId="4470D883"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b/>
          <w:bCs/>
          <w:sz w:val="24"/>
          <w:szCs w:val="24"/>
        </w:rPr>
        <w:t>Respect of fundamental rights</w:t>
      </w:r>
      <w:r w:rsidRPr="36BE81E9">
        <w:rPr>
          <w:rFonts w:ascii="Times New Roman" w:hAnsi="Times New Roman" w:cs="Times New Roman"/>
          <w:sz w:val="24"/>
          <w:szCs w:val="24"/>
        </w:rPr>
        <w:t xml:space="preserve"> is one of the core EU values enshrined in the EU Treaties and an essential element in the accession process. The adoption and ratification of all core international human rights framework and necessary legislative amendments is crucial. Fundamental rights are largely enshrined in the legislation of the beneficiaries but more needs to be done also to ensure they are fully implemented in practice. Strong and independent institutions are needed to ensure the effective application of these rights and freedoms. Particular focus is needed to safeguard the freedom of expression and independence of media</w:t>
      </w:r>
      <w:r w:rsidR="00576A8E">
        <w:rPr>
          <w:rFonts w:ascii="Times New Roman" w:hAnsi="Times New Roman" w:cs="Times New Roman"/>
          <w:sz w:val="24"/>
          <w:szCs w:val="24"/>
        </w:rPr>
        <w:t xml:space="preserve">; </w:t>
      </w:r>
      <w:r w:rsidRPr="36BE81E9">
        <w:rPr>
          <w:rFonts w:ascii="Times New Roman" w:hAnsi="Times New Roman" w:cs="Times New Roman"/>
          <w:sz w:val="24"/>
          <w:szCs w:val="24"/>
        </w:rPr>
        <w:t>as pillars of democracy</w:t>
      </w:r>
      <w:r>
        <w:rPr>
          <w:rFonts w:ascii="Times New Roman" w:hAnsi="Times New Roman" w:cs="Times New Roman"/>
          <w:sz w:val="24"/>
          <w:szCs w:val="24"/>
        </w:rPr>
        <w:t xml:space="preserve">, also </w:t>
      </w:r>
      <w:r w:rsidR="00262FCF">
        <w:rPr>
          <w:rFonts w:ascii="Times New Roman" w:hAnsi="Times New Roman" w:cs="Times New Roman"/>
          <w:sz w:val="24"/>
          <w:szCs w:val="24"/>
        </w:rPr>
        <w:t>free, open and secure internet as well as counteract disinformation online,</w:t>
      </w:r>
      <w:r w:rsidR="00262FCF" w:rsidRPr="36BE81E9">
        <w:rPr>
          <w:rFonts w:ascii="Times New Roman" w:hAnsi="Times New Roman" w:cs="Times New Roman"/>
          <w:sz w:val="24"/>
          <w:szCs w:val="24"/>
        </w:rPr>
        <w:t xml:space="preserve"> </w:t>
      </w:r>
      <w:r>
        <w:rPr>
          <w:rFonts w:ascii="Times New Roman" w:hAnsi="Times New Roman" w:cs="Times New Roman"/>
          <w:sz w:val="24"/>
          <w:szCs w:val="24"/>
        </w:rPr>
        <w:t>data protection and privacy</w:t>
      </w:r>
      <w:r w:rsidRPr="36BE81E9">
        <w:rPr>
          <w:rFonts w:ascii="Times New Roman" w:hAnsi="Times New Roman" w:cs="Times New Roman"/>
          <w:sz w:val="24"/>
          <w:szCs w:val="24"/>
        </w:rPr>
        <w:t xml:space="preserve">. </w:t>
      </w:r>
    </w:p>
    <w:p w14:paraId="0C0082B4"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Discrimination against </w:t>
      </w:r>
      <w:r>
        <w:rPr>
          <w:rFonts w:ascii="Times New Roman" w:hAnsi="Times New Roman" w:cs="Times New Roman"/>
          <w:sz w:val="24"/>
          <w:szCs w:val="24"/>
        </w:rPr>
        <w:t xml:space="preserve">women and girls, </w:t>
      </w:r>
      <w:r w:rsidRPr="36BE81E9">
        <w:rPr>
          <w:rFonts w:ascii="Times New Roman" w:hAnsi="Times New Roman" w:cs="Times New Roman"/>
          <w:sz w:val="24"/>
          <w:szCs w:val="24"/>
        </w:rPr>
        <w:t>minorities, children, persons with disabilities and other vulnerable groups remains an important challenge in the region. Further measures are necessary to protect and promote the rights of the child and to safeguard the rights of persons with disabilities in line with the United Nations Convention on the Rights of Persons with Disabilities. Decisive efforts are needed to fight discrimination based on any ground such as sex, race, colour, ethnic or social origin, genetic features, language, religion or belief, political or any other opinion, membership of a national minority, property, birth, disability, age or sexual orientation. To build strong rule of law-based societies, gender equality should also be more effectively promoted and implemented in all areas</w:t>
      </w:r>
      <w:r>
        <w:rPr>
          <w:rFonts w:ascii="Times New Roman" w:hAnsi="Times New Roman" w:cs="Times New Roman"/>
          <w:sz w:val="24"/>
          <w:szCs w:val="24"/>
        </w:rPr>
        <w:t>.</w:t>
      </w:r>
    </w:p>
    <w:p w14:paraId="0AA2F914" w14:textId="353D5250"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Strengthening the functioning </w:t>
      </w:r>
      <w:r w:rsidRPr="36BE81E9">
        <w:rPr>
          <w:rFonts w:ascii="Times New Roman" w:hAnsi="Times New Roman" w:cs="Times New Roman"/>
          <w:b/>
          <w:bCs/>
          <w:sz w:val="24"/>
          <w:szCs w:val="24"/>
        </w:rPr>
        <w:t xml:space="preserve">of </w:t>
      </w:r>
      <w:r w:rsidR="001B5D67">
        <w:rPr>
          <w:rFonts w:ascii="Times New Roman" w:hAnsi="Times New Roman" w:cs="Times New Roman"/>
          <w:b/>
          <w:bCs/>
          <w:sz w:val="24"/>
          <w:szCs w:val="24"/>
        </w:rPr>
        <w:t xml:space="preserve">independent </w:t>
      </w:r>
      <w:r w:rsidRPr="36BE81E9">
        <w:rPr>
          <w:rFonts w:ascii="Times New Roman" w:hAnsi="Times New Roman" w:cs="Times New Roman"/>
          <w:b/>
          <w:bCs/>
          <w:sz w:val="24"/>
          <w:szCs w:val="24"/>
        </w:rPr>
        <w:t>democratic institutions</w:t>
      </w:r>
      <w:r w:rsidRPr="36BE81E9">
        <w:rPr>
          <w:rFonts w:ascii="Times New Roman" w:hAnsi="Times New Roman" w:cs="Times New Roman"/>
          <w:sz w:val="24"/>
          <w:szCs w:val="24"/>
        </w:rPr>
        <w:t xml:space="preserve"> is essential. This includes principles such as the separation of power</w:t>
      </w:r>
      <w:r>
        <w:rPr>
          <w:rFonts w:ascii="Times New Roman" w:hAnsi="Times New Roman" w:cs="Times New Roman"/>
          <w:sz w:val="24"/>
          <w:szCs w:val="24"/>
        </w:rPr>
        <w:t>s</w:t>
      </w:r>
      <w:r w:rsidRPr="36BE81E9">
        <w:rPr>
          <w:rFonts w:ascii="Times New Roman" w:hAnsi="Times New Roman" w:cs="Times New Roman"/>
          <w:sz w:val="24"/>
          <w:szCs w:val="24"/>
        </w:rPr>
        <w:t>, adequate checks and balances as well as ensuring constructive dialogue across the political spectrum, notably within the parliaments. Democratic institutions must be inclusive of the plurality of groups in society and must promote an equal distribution of power. The government needs to ensure that the opposition has the possibility to fully perform its role. An active, constructive and engaged opposition is an important element in the democratic process. Efforts are needed to further increase the active participation, representation and leadership of women</w:t>
      </w:r>
      <w:r w:rsidR="00FF4CBC">
        <w:rPr>
          <w:rFonts w:ascii="Times New Roman" w:hAnsi="Times New Roman" w:cs="Times New Roman"/>
          <w:sz w:val="24"/>
          <w:szCs w:val="24"/>
        </w:rPr>
        <w:t xml:space="preserve"> and youth</w:t>
      </w:r>
      <w:r w:rsidRPr="36BE81E9">
        <w:rPr>
          <w:rFonts w:ascii="Times New Roman" w:hAnsi="Times New Roman" w:cs="Times New Roman"/>
          <w:sz w:val="24"/>
          <w:szCs w:val="24"/>
        </w:rPr>
        <w:t xml:space="preserve"> in politics and in the political decision making process. Elections should be transparent, inclusive and credible, the bodies charged with overseeing the implementation of election processes should be able to operate independently and the recommendations of election observation missions should be properly implemented. The rules for the public and private financing of political parties also require substantive reform. </w:t>
      </w:r>
    </w:p>
    <w:p w14:paraId="293A24E5" w14:textId="7DC4E2CB"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Citizens have a right to be actively involved in policy-making. More needs to be done to strengthen transparency, participatory democracy, </w:t>
      </w:r>
      <w:r w:rsidR="00262FCF">
        <w:rPr>
          <w:rFonts w:ascii="Times New Roman" w:hAnsi="Times New Roman" w:cs="Times New Roman"/>
          <w:sz w:val="24"/>
          <w:szCs w:val="24"/>
        </w:rPr>
        <w:t xml:space="preserve">and </w:t>
      </w:r>
      <w:r w:rsidRPr="36BE81E9">
        <w:rPr>
          <w:rFonts w:ascii="Times New Roman" w:hAnsi="Times New Roman" w:cs="Times New Roman"/>
          <w:sz w:val="24"/>
          <w:szCs w:val="24"/>
        </w:rPr>
        <w:t xml:space="preserve">democratic citizenship and develop dialogue between decision makers and stakeholders also by using modern technologies. An empowered </w:t>
      </w:r>
      <w:r w:rsidRPr="36BE81E9">
        <w:rPr>
          <w:rFonts w:ascii="Times New Roman" w:hAnsi="Times New Roman" w:cs="Times New Roman"/>
          <w:b/>
          <w:bCs/>
          <w:sz w:val="24"/>
          <w:szCs w:val="24"/>
        </w:rPr>
        <w:t>civil society</w:t>
      </w:r>
      <w:r w:rsidRPr="36BE81E9">
        <w:rPr>
          <w:rFonts w:ascii="Times New Roman" w:hAnsi="Times New Roman" w:cs="Times New Roman"/>
          <w:sz w:val="24"/>
          <w:szCs w:val="24"/>
        </w:rPr>
        <w:t xml:space="preserve"> is a crucial component of any democratic system</w:t>
      </w:r>
      <w:r>
        <w:rPr>
          <w:rFonts w:ascii="Times New Roman" w:hAnsi="Times New Roman" w:cs="Times New Roman"/>
          <w:sz w:val="24"/>
          <w:szCs w:val="24"/>
        </w:rPr>
        <w:t xml:space="preserve"> and prevents the polarisation of a society</w:t>
      </w:r>
      <w:r w:rsidRPr="36BE81E9">
        <w:rPr>
          <w:rFonts w:ascii="Times New Roman" w:hAnsi="Times New Roman" w:cs="Times New Roman"/>
          <w:sz w:val="24"/>
          <w:szCs w:val="24"/>
        </w:rPr>
        <w:t>. It enhances political accountability and social cohesion, deepening understanding and inclusiveness of accession-related reforms, as well as supporting reconciliation in societies divided by conflict.</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In some cases, a more supportive and enabling environment needs to be developed that improves the conditions for policy dialogue and non-partisan input to the decision making process. IPA III will build upon the results achieved in </w:t>
      </w:r>
      <w:r w:rsidRPr="36BE81E9">
        <w:rPr>
          <w:rFonts w:ascii="Times New Roman" w:hAnsi="Times New Roman" w:cs="Times New Roman"/>
          <w:sz w:val="24"/>
          <w:szCs w:val="24"/>
        </w:rPr>
        <w:lastRenderedPageBreak/>
        <w:t xml:space="preserve">the previous period, while continuing to consolidate reforms and to build resilience to emerging challenges. </w:t>
      </w:r>
    </w:p>
    <w:p w14:paraId="36A63A9C" w14:textId="77777777" w:rsidR="005739B7" w:rsidRPr="005742F9" w:rsidRDefault="005739B7" w:rsidP="005739B7">
      <w:pPr>
        <w:spacing w:after="120" w:line="240" w:lineRule="auto"/>
        <w:jc w:val="both"/>
        <w:rPr>
          <w:rFonts w:ascii="Times New Roman" w:hAnsi="Times New Roman" w:cs="Times New Roman"/>
          <w:sz w:val="24"/>
          <w:szCs w:val="24"/>
        </w:rPr>
      </w:pPr>
    </w:p>
    <w:p w14:paraId="22234F36" w14:textId="77777777" w:rsidR="005739B7" w:rsidRPr="005742F9" w:rsidRDefault="005739B7" w:rsidP="005F0813">
      <w:pPr>
        <w:keepNext/>
        <w:numPr>
          <w:ilvl w:val="0"/>
          <w:numId w:val="10"/>
        </w:numPr>
        <w:spacing w:after="120" w:line="240" w:lineRule="auto"/>
        <w:ind w:left="425" w:hanging="425"/>
        <w:rPr>
          <w:rFonts w:ascii="Times New Roman" w:hAnsi="Times New Roman" w:cs="Times New Roman"/>
          <w:b/>
          <w:bCs/>
        </w:rPr>
      </w:pPr>
      <w:r w:rsidRPr="36BE81E9">
        <w:rPr>
          <w:rFonts w:ascii="Times New Roman" w:hAnsi="Times New Roman" w:cs="Times New Roman"/>
          <w:b/>
          <w:bCs/>
          <w:sz w:val="24"/>
          <w:szCs w:val="24"/>
        </w:rPr>
        <w:t>Key</w:t>
      </w:r>
      <w:r w:rsidRPr="36BE81E9">
        <w:rPr>
          <w:rFonts w:ascii="Times New Roman" w:hAnsi="Times New Roman" w:cs="Times New Roman"/>
          <w:b/>
          <w:bCs/>
        </w:rPr>
        <w:t xml:space="preserve"> priorities for IPA III support</w:t>
      </w:r>
    </w:p>
    <w:p w14:paraId="3FA28A9B" w14:textId="43B4B110"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hAnsi="Times New Roman" w:cs="Times New Roman"/>
          <w:sz w:val="24"/>
          <w:szCs w:val="24"/>
        </w:rPr>
        <w:t xml:space="preserve">The overall objective of IPA III under this window is to strengthen the rule of law, democracy, the respect of human rights and international law, civil society and security as well as to improve migration management including border management. Addressing reforms in the area of rule of law, </w:t>
      </w:r>
      <w:r w:rsidR="0097755D">
        <w:rPr>
          <w:rFonts w:ascii="Times New Roman" w:hAnsi="Times New Roman" w:cs="Times New Roman"/>
          <w:sz w:val="24"/>
          <w:szCs w:val="24"/>
        </w:rPr>
        <w:t xml:space="preserve">judiciary, </w:t>
      </w:r>
      <w:r w:rsidRPr="36BE81E9">
        <w:rPr>
          <w:rFonts w:ascii="Times New Roman" w:hAnsi="Times New Roman" w:cs="Times New Roman"/>
          <w:sz w:val="24"/>
          <w:szCs w:val="24"/>
        </w:rPr>
        <w:t xml:space="preserve">fundamental rights and democracy and ensuring proper management of migration are thus key priorities in the enlargement process, as reflected in </w:t>
      </w:r>
      <w:r w:rsidR="00942107">
        <w:rPr>
          <w:rFonts w:ascii="Times New Roman" w:hAnsi="Times New Roman" w:cs="Times New Roman"/>
          <w:sz w:val="24"/>
          <w:szCs w:val="24"/>
        </w:rPr>
        <w:t>cluster 1 (Fundamentals)</w:t>
      </w:r>
      <w:r w:rsidR="00BF3641">
        <w:rPr>
          <w:rFonts w:ascii="Times New Roman" w:hAnsi="Times New Roman" w:cs="Times New Roman"/>
          <w:sz w:val="24"/>
          <w:szCs w:val="24"/>
        </w:rPr>
        <w:t xml:space="preserve">, which include </w:t>
      </w:r>
      <w:r w:rsidRPr="36BE81E9">
        <w:rPr>
          <w:rFonts w:ascii="Times New Roman" w:hAnsi="Times New Roman" w:cs="Times New Roman"/>
          <w:sz w:val="24"/>
          <w:szCs w:val="24"/>
        </w:rPr>
        <w:t xml:space="preserve">chapters 23 and 24. Providing a robust level of security, including fostering law enforcement as well as judicial cooperation in civil and criminal matters, strengthening police cooperation and fight against organised crime, cybercrime, </w:t>
      </w:r>
      <w:r w:rsidR="00576A8E">
        <w:rPr>
          <w:rFonts w:ascii="Times New Roman" w:hAnsi="Times New Roman" w:cs="Times New Roman"/>
          <w:sz w:val="24"/>
          <w:szCs w:val="24"/>
        </w:rPr>
        <w:t xml:space="preserve">, </w:t>
      </w:r>
      <w:r w:rsidRPr="36BE81E9">
        <w:rPr>
          <w:rFonts w:ascii="Times New Roman" w:hAnsi="Times New Roman" w:cs="Times New Roman"/>
          <w:sz w:val="24"/>
          <w:szCs w:val="24"/>
        </w:rPr>
        <w:t xml:space="preserve">terrorism, violent extremism and gender based violence remain crucial while upholding fundamental rights. With this in mind, EU’s assistance will focus on further developing the legislative framework, </w:t>
      </w:r>
      <w:r w:rsidR="000505C6">
        <w:rPr>
          <w:rFonts w:ascii="Times New Roman" w:hAnsi="Times New Roman" w:cs="Times New Roman"/>
          <w:sz w:val="24"/>
          <w:szCs w:val="24"/>
        </w:rPr>
        <w:t xml:space="preserve">in line with relevant international conventions, </w:t>
      </w:r>
      <w:r w:rsidRPr="36BE81E9">
        <w:rPr>
          <w:rFonts w:ascii="Times New Roman" w:hAnsi="Times New Roman" w:cs="Times New Roman"/>
          <w:sz w:val="24"/>
          <w:szCs w:val="24"/>
        </w:rPr>
        <w:t xml:space="preserve">strengthening relevant institutions and capacities, and </w:t>
      </w:r>
      <w:r>
        <w:rPr>
          <w:rFonts w:ascii="Times New Roman" w:hAnsi="Times New Roman" w:cs="Times New Roman"/>
          <w:sz w:val="24"/>
          <w:szCs w:val="24"/>
        </w:rPr>
        <w:t>continue encouraging IPA III beneficiaries to</w:t>
      </w:r>
      <w:r w:rsidRPr="36BE81E9">
        <w:rPr>
          <w:rFonts w:ascii="Times New Roman" w:hAnsi="Times New Roman" w:cs="Times New Roman"/>
          <w:sz w:val="24"/>
          <w:szCs w:val="24"/>
        </w:rPr>
        <w:t xml:space="preserve"> step</w:t>
      </w:r>
      <w:r>
        <w:rPr>
          <w:rFonts w:ascii="Times New Roman" w:hAnsi="Times New Roman" w:cs="Times New Roman"/>
          <w:sz w:val="24"/>
          <w:szCs w:val="24"/>
        </w:rPr>
        <w:t xml:space="preserve"> up</w:t>
      </w:r>
      <w:r w:rsidRPr="36BE81E9">
        <w:rPr>
          <w:rFonts w:ascii="Times New Roman" w:hAnsi="Times New Roman" w:cs="Times New Roman"/>
          <w:sz w:val="24"/>
          <w:szCs w:val="24"/>
        </w:rPr>
        <w:t xml:space="preserve"> operational cooperation with the aim of establishing a convincing track</w:t>
      </w:r>
      <w:r>
        <w:rPr>
          <w:rFonts w:ascii="Times New Roman" w:hAnsi="Times New Roman" w:cs="Times New Roman"/>
          <w:sz w:val="24"/>
          <w:szCs w:val="24"/>
        </w:rPr>
        <w:t>-</w:t>
      </w:r>
      <w:r w:rsidRPr="36BE81E9">
        <w:rPr>
          <w:rFonts w:ascii="Times New Roman" w:hAnsi="Times New Roman" w:cs="Times New Roman"/>
          <w:sz w:val="24"/>
          <w:szCs w:val="24"/>
        </w:rPr>
        <w:t>record and concrete results. Civil society remains a crucial partner in strengthening democratic societies. Therefore</w:t>
      </w:r>
      <w:r>
        <w:rPr>
          <w:rFonts w:ascii="Times New Roman" w:hAnsi="Times New Roman" w:cs="Times New Roman"/>
          <w:sz w:val="24"/>
          <w:szCs w:val="24"/>
        </w:rPr>
        <w:t>,</w:t>
      </w:r>
      <w:r w:rsidRPr="36BE81E9">
        <w:rPr>
          <w:rFonts w:ascii="Times New Roman" w:hAnsi="Times New Roman" w:cs="Times New Roman"/>
          <w:sz w:val="24"/>
          <w:szCs w:val="24"/>
        </w:rPr>
        <w:t xml:space="preserve"> IPA III will support both </w:t>
      </w:r>
      <w:r w:rsidRPr="36BE81E9">
        <w:rPr>
          <w:rFonts w:ascii="Times New Roman" w:eastAsia="Calibri" w:hAnsi="Times New Roman" w:cs="Times New Roman"/>
          <w:sz w:val="24"/>
          <w:szCs w:val="24"/>
        </w:rPr>
        <w:t>the creation of an enabling environment for a strong and vibrant civil society and the capacities of civil society itself</w:t>
      </w:r>
      <w:r w:rsidRPr="36BE81E9">
        <w:rPr>
          <w:rFonts w:ascii="Times New Roman" w:hAnsi="Times New Roman" w:cs="Times New Roman"/>
          <w:sz w:val="24"/>
          <w:szCs w:val="24"/>
        </w:rPr>
        <w:t xml:space="preserve">. </w:t>
      </w:r>
      <w:r w:rsidRPr="36BE81E9">
        <w:rPr>
          <w:rFonts w:ascii="Times New Roman" w:eastAsia="Calibri" w:hAnsi="Times New Roman" w:cs="Times New Roman"/>
          <w:sz w:val="24"/>
          <w:szCs w:val="24"/>
        </w:rPr>
        <w:t>The proposed actions will also be designed in a way to assess, address and mainstream gender</w:t>
      </w:r>
      <w:r w:rsidR="002540B0">
        <w:rPr>
          <w:rFonts w:ascii="Times New Roman" w:eastAsia="Calibri" w:hAnsi="Times New Roman" w:cs="Times New Roman"/>
          <w:sz w:val="24"/>
          <w:szCs w:val="24"/>
        </w:rPr>
        <w:t xml:space="preserve"> equality</w:t>
      </w:r>
      <w:r w:rsidRPr="36BE81E9">
        <w:rPr>
          <w:rFonts w:ascii="Times New Roman" w:eastAsia="Calibri" w:hAnsi="Times New Roman" w:cs="Times New Roman"/>
          <w:sz w:val="24"/>
          <w:szCs w:val="24"/>
        </w:rPr>
        <w:t xml:space="preserve">, with special consideration to combatting all forms of sexual and gender-based violence, promoting gender equality and empowering girls and women. </w:t>
      </w:r>
      <w:r w:rsidRPr="36BE81E9">
        <w:rPr>
          <w:rFonts w:ascii="Times New Roman" w:hAnsi="Times New Roman" w:cs="Times New Roman"/>
          <w:sz w:val="24"/>
          <w:szCs w:val="24"/>
        </w:rPr>
        <w:t xml:space="preserve">For negotiating countries, the action plans for chapters 23 and 24 </w:t>
      </w:r>
      <w:r w:rsidR="004702DB">
        <w:rPr>
          <w:rFonts w:ascii="Times New Roman" w:hAnsi="Times New Roman" w:cs="Times New Roman"/>
          <w:sz w:val="24"/>
          <w:szCs w:val="24"/>
        </w:rPr>
        <w:t xml:space="preserve">and, under the enhanced enlargement methodology, the roadmap for the rule of law chapters, the roadmap on the functioning of democratic institutions and public administration reform and the economic reform programme </w:t>
      </w:r>
      <w:r w:rsidRPr="36BE81E9">
        <w:rPr>
          <w:rFonts w:ascii="Times New Roman" w:hAnsi="Times New Roman" w:cs="Times New Roman"/>
          <w:sz w:val="24"/>
          <w:szCs w:val="24"/>
        </w:rPr>
        <w:t xml:space="preserve">provide a key guidance for their efforts in this area and the basis for IPA III support. For others the Commission’s annual report should be the basis so support shall address the weaknesses identified. </w:t>
      </w:r>
    </w:p>
    <w:p w14:paraId="59AC3ACB"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1: Judiciary</w:t>
      </w:r>
    </w:p>
    <w:p w14:paraId="3F585975" w14:textId="3D4B0768"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 of IPA III in this area will be to further improve the independence, accountability, quality</w:t>
      </w:r>
      <w:r>
        <w:rPr>
          <w:rFonts w:ascii="Times New Roman" w:hAnsi="Times New Roman" w:cs="Times New Roman"/>
          <w:sz w:val="24"/>
          <w:szCs w:val="24"/>
        </w:rPr>
        <w:t xml:space="preserve"> and efficiency</w:t>
      </w:r>
      <w:r w:rsidRPr="36BE81E9">
        <w:rPr>
          <w:rFonts w:ascii="Times New Roman" w:hAnsi="Times New Roman" w:cs="Times New Roman"/>
          <w:sz w:val="24"/>
          <w:szCs w:val="24"/>
        </w:rPr>
        <w:t xml:space="preserve"> of the judicial systems of each beneficiary. IPA III will also contribute to improve the professionali</w:t>
      </w:r>
      <w:r>
        <w:rPr>
          <w:rFonts w:ascii="Times New Roman" w:hAnsi="Times New Roman" w:cs="Times New Roman"/>
          <w:sz w:val="24"/>
          <w:szCs w:val="24"/>
        </w:rPr>
        <w:t>z</w:t>
      </w:r>
      <w:r w:rsidRPr="36BE81E9">
        <w:rPr>
          <w:rFonts w:ascii="Times New Roman" w:hAnsi="Times New Roman" w:cs="Times New Roman"/>
          <w:sz w:val="24"/>
          <w:szCs w:val="24"/>
        </w:rPr>
        <w:t>ation of judges and of the justice system as a whole, including the skills and capacities of officers concerned in the administration of justice. For countries that have opened negotiations with the EU, the focus of assistance will primarily be on specific benchmarks for chapter 23</w:t>
      </w:r>
      <w:r w:rsidR="004702DB">
        <w:rPr>
          <w:rFonts w:ascii="Times New Roman" w:hAnsi="Times New Roman" w:cs="Times New Roman"/>
          <w:sz w:val="24"/>
          <w:szCs w:val="24"/>
        </w:rPr>
        <w:t xml:space="preserve"> or on the relevant part of the </w:t>
      </w:r>
      <w:r w:rsidR="004702DB" w:rsidRPr="00B21938">
        <w:rPr>
          <w:rFonts w:ascii="Times New Roman" w:hAnsi="Times New Roman" w:cs="Times New Roman"/>
          <w:sz w:val="24"/>
          <w:szCs w:val="24"/>
        </w:rPr>
        <w:t>roadmap for the rule of law chapters</w:t>
      </w:r>
      <w:r w:rsidR="004702DB">
        <w:rPr>
          <w:rFonts w:ascii="Times New Roman" w:hAnsi="Times New Roman" w:cs="Times New Roman"/>
          <w:sz w:val="24"/>
          <w:szCs w:val="24"/>
        </w:rPr>
        <w:t>, w</w:t>
      </w:r>
      <w:r w:rsidR="00942107">
        <w:rPr>
          <w:rFonts w:ascii="Times New Roman" w:hAnsi="Times New Roman" w:cs="Times New Roman"/>
          <w:sz w:val="24"/>
          <w:szCs w:val="24"/>
        </w:rPr>
        <w:t>ithin cluster 1 (Fundamentals)</w:t>
      </w:r>
      <w:r w:rsidRPr="36BE81E9">
        <w:rPr>
          <w:rFonts w:ascii="Times New Roman" w:hAnsi="Times New Roman" w:cs="Times New Roman"/>
          <w:sz w:val="24"/>
          <w:szCs w:val="24"/>
        </w:rPr>
        <w:t>.</w:t>
      </w:r>
    </w:p>
    <w:p w14:paraId="3B6CC3EE"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 particular, support under IPA III will focus on ensuring that there is a strategic approach towards judicial reforms, with more attention for thoroughly assessing the situation and introducing robust tools to monitor and evaluate reform processes.</w:t>
      </w:r>
      <w:r>
        <w:rPr>
          <w:rFonts w:ascii="Times New Roman" w:hAnsi="Times New Roman" w:cs="Times New Roman"/>
          <w:sz w:val="24"/>
          <w:szCs w:val="24"/>
        </w:rPr>
        <w:t xml:space="preserve"> </w:t>
      </w:r>
      <w:r w:rsidRPr="36BE81E9">
        <w:rPr>
          <w:rFonts w:ascii="Times New Roman" w:hAnsi="Times New Roman" w:cs="Times New Roman"/>
          <w:sz w:val="24"/>
          <w:szCs w:val="24"/>
        </w:rPr>
        <w:t>This support will be crucial to tackle the slow pace of judicial reforms and promote a change in judicial culture.</w:t>
      </w:r>
    </w:p>
    <w:p w14:paraId="56A566EA"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Support to independent bodies such as judicial and prosecutorial Councils will continue, as appropriate, in order to help them fully assume their institutional and managerial role. This support is key to strengthen the independence of the judiciary from the executive, and to ensure that judges and prosecutors can perform their work free from undue political pressure. </w:t>
      </w:r>
    </w:p>
    <w:p w14:paraId="2269F69A"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also support organisational aspects, introducing management techniques in courts, beefing up the capacity to monitor and evaluate the performance of courts and prosecution </w:t>
      </w:r>
      <w:r w:rsidRPr="36BE81E9">
        <w:rPr>
          <w:rFonts w:ascii="Times New Roman" w:hAnsi="Times New Roman" w:cs="Times New Roman"/>
          <w:sz w:val="24"/>
          <w:szCs w:val="24"/>
        </w:rPr>
        <w:lastRenderedPageBreak/>
        <w:t>offices using data in a pro-active manner and for planning purposes</w:t>
      </w:r>
      <w:r>
        <w:rPr>
          <w:rFonts w:ascii="Times New Roman" w:hAnsi="Times New Roman" w:cs="Times New Roman"/>
          <w:sz w:val="24"/>
          <w:szCs w:val="24"/>
        </w:rPr>
        <w:t>. It will also</w:t>
      </w:r>
      <w:r w:rsidRPr="36BE81E9">
        <w:rPr>
          <w:rFonts w:ascii="Times New Roman" w:hAnsi="Times New Roman" w:cs="Times New Roman"/>
          <w:sz w:val="24"/>
          <w:szCs w:val="24"/>
        </w:rPr>
        <w:t xml:space="preserve"> ensur</w:t>
      </w:r>
      <w:r>
        <w:rPr>
          <w:rFonts w:ascii="Times New Roman" w:hAnsi="Times New Roman" w:cs="Times New Roman"/>
          <w:sz w:val="24"/>
          <w:szCs w:val="24"/>
        </w:rPr>
        <w:t>e</w:t>
      </w:r>
      <w:r w:rsidRPr="36BE81E9">
        <w:rPr>
          <w:rFonts w:ascii="Times New Roman" w:hAnsi="Times New Roman" w:cs="Times New Roman"/>
          <w:sz w:val="24"/>
          <w:szCs w:val="24"/>
        </w:rPr>
        <w:t xml:space="preserve"> a modern approach to human resources policy and introduc</w:t>
      </w:r>
      <w:r>
        <w:rPr>
          <w:rFonts w:ascii="Times New Roman" w:hAnsi="Times New Roman" w:cs="Times New Roman"/>
          <w:sz w:val="24"/>
          <w:szCs w:val="24"/>
        </w:rPr>
        <w:t>e</w:t>
      </w:r>
      <w:r w:rsidRPr="36BE81E9">
        <w:rPr>
          <w:rFonts w:ascii="Times New Roman" w:hAnsi="Times New Roman" w:cs="Times New Roman"/>
          <w:sz w:val="24"/>
          <w:szCs w:val="24"/>
        </w:rPr>
        <w:t xml:space="preserve"> </w:t>
      </w:r>
      <w:r>
        <w:rPr>
          <w:rFonts w:ascii="Times New Roman" w:hAnsi="Times New Roman" w:cs="Times New Roman"/>
          <w:sz w:val="24"/>
          <w:szCs w:val="24"/>
        </w:rPr>
        <w:t>data and information and communications technology</w:t>
      </w:r>
      <w:r w:rsidRPr="36BE81E9">
        <w:rPr>
          <w:rFonts w:ascii="Times New Roman" w:hAnsi="Times New Roman" w:cs="Times New Roman"/>
          <w:sz w:val="24"/>
          <w:szCs w:val="24"/>
        </w:rPr>
        <w:t xml:space="preserve"> tools such </w:t>
      </w:r>
      <w:r>
        <w:rPr>
          <w:rFonts w:ascii="Times New Roman" w:hAnsi="Times New Roman" w:cs="Times New Roman"/>
          <w:sz w:val="24"/>
          <w:szCs w:val="24"/>
        </w:rPr>
        <w:t>as digitalisation of</w:t>
      </w:r>
      <w:r w:rsidRPr="36BE81E9">
        <w:rPr>
          <w:rFonts w:ascii="Times New Roman" w:hAnsi="Times New Roman" w:cs="Times New Roman"/>
          <w:sz w:val="24"/>
          <w:szCs w:val="24"/>
        </w:rPr>
        <w:t xml:space="preserve"> management systems. This support is crucial to ensure fair and timely proceedings, improve the efficiency of service delivery and the legal predictability for professionals and court users. </w:t>
      </w:r>
    </w:p>
    <w:p w14:paraId="5626326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Ethics and integrity will remain high on the agenda and support will be provided to improve transparency of the judiciary and to better communicate to the public on the functioning of the judiciary and on specific cases. Judges, prosecutors and other legal professions will need to continue to step up professionalism and competence. These aspects are fundamental to ensure the application of objective, merit-based criteria for the recruitment, promotion and career development of judges and prosecutors; and to restore the public trust of citizens and court users in the judiciary.</w:t>
      </w:r>
      <w:r>
        <w:rPr>
          <w:rFonts w:ascii="Times New Roman" w:hAnsi="Times New Roman" w:cs="Times New Roman"/>
          <w:sz w:val="24"/>
          <w:szCs w:val="24"/>
        </w:rPr>
        <w:t xml:space="preserve"> </w:t>
      </w:r>
    </w:p>
    <w:p w14:paraId="1267BB89"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Courts and prosecution offices need to have decent working conditions. Support to improve infrastructure may be offered, but only in support of an overall strategy on reforming the judicial system backed by strong political will, upon demonstration of needs to reach the goals of the reform process.</w:t>
      </w:r>
      <w:r>
        <w:rPr>
          <w:rFonts w:ascii="Times New Roman" w:hAnsi="Times New Roman" w:cs="Times New Roman"/>
          <w:sz w:val="24"/>
          <w:szCs w:val="24"/>
        </w:rPr>
        <w:t xml:space="preserve"> </w:t>
      </w:r>
      <w:r w:rsidRPr="36BE81E9">
        <w:rPr>
          <w:rFonts w:ascii="Times New Roman" w:hAnsi="Times New Roman" w:cs="Times New Roman"/>
          <w:sz w:val="24"/>
          <w:szCs w:val="24"/>
        </w:rPr>
        <w:t>To alleviate the burden on courts, support will be provided to promote and implement alternative dispute resolution mechanisms to the extent that these mechanisms will help reducing the backlog in courts, increase efficiency and</w:t>
      </w:r>
      <w:r>
        <w:rPr>
          <w:rFonts w:ascii="Times New Roman" w:hAnsi="Times New Roman" w:cs="Times New Roman"/>
          <w:sz w:val="24"/>
          <w:szCs w:val="24"/>
        </w:rPr>
        <w:t xml:space="preserve"> </w:t>
      </w:r>
      <w:r w:rsidRPr="36BE81E9">
        <w:rPr>
          <w:rFonts w:ascii="Times New Roman" w:hAnsi="Times New Roman" w:cs="Times New Roman"/>
          <w:sz w:val="24"/>
          <w:szCs w:val="24"/>
        </w:rPr>
        <w:t>provide litigants with faster and cheaper instruments to solve their civil and commercial disputes.</w:t>
      </w:r>
    </w:p>
    <w:p w14:paraId="309239C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also contribute to further improving access to justice, including for vulnerable persons and children, ensuring consistency of jurisprudence and developing e-justice systems. These are key to improve access to information in the area of justice, </w:t>
      </w:r>
      <w:r>
        <w:rPr>
          <w:rFonts w:ascii="Times New Roman" w:hAnsi="Times New Roman" w:cs="Times New Roman"/>
          <w:sz w:val="24"/>
          <w:szCs w:val="24"/>
        </w:rPr>
        <w:t xml:space="preserve">provide legal aid for victims, </w:t>
      </w:r>
      <w:r w:rsidRPr="36BE81E9">
        <w:rPr>
          <w:rFonts w:ascii="Times New Roman" w:hAnsi="Times New Roman" w:cs="Times New Roman"/>
          <w:sz w:val="24"/>
          <w:szCs w:val="24"/>
        </w:rPr>
        <w:t>offer easier and faster resolution of courts cases as well as facilitate cooperation between the beneficiaries and with the EU Member States in this area.</w:t>
      </w:r>
    </w:p>
    <w:p w14:paraId="74BE89C9"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Judicial training </w:t>
      </w:r>
      <w:r>
        <w:rPr>
          <w:rFonts w:ascii="Times New Roman" w:hAnsi="Times New Roman" w:cs="Times New Roman"/>
          <w:sz w:val="24"/>
          <w:szCs w:val="24"/>
        </w:rPr>
        <w:t xml:space="preserve">will address challenges on the basis of a sound training needs assessment and a problem-oriented approach, ensuring coherence and sustainability. It will </w:t>
      </w:r>
      <w:r w:rsidRPr="36BE81E9">
        <w:rPr>
          <w:rFonts w:ascii="Times New Roman" w:hAnsi="Times New Roman" w:cs="Times New Roman"/>
          <w:sz w:val="24"/>
          <w:szCs w:val="24"/>
        </w:rPr>
        <w:t xml:space="preserve">be provided primarily through the </w:t>
      </w:r>
      <w:r>
        <w:rPr>
          <w:rFonts w:ascii="Times New Roman" w:hAnsi="Times New Roman" w:cs="Times New Roman"/>
          <w:sz w:val="24"/>
          <w:szCs w:val="24"/>
        </w:rPr>
        <w:t>support to build capacity of local actors: staff of training providers, trainers, and all others involved. A</w:t>
      </w:r>
      <w:r w:rsidRPr="36BE81E9">
        <w:rPr>
          <w:rFonts w:ascii="Times New Roman" w:hAnsi="Times New Roman" w:cs="Times New Roman"/>
          <w:sz w:val="24"/>
          <w:szCs w:val="24"/>
        </w:rPr>
        <w:t xml:space="preserve"> specific focus on the implementation o</w:t>
      </w:r>
      <w:r>
        <w:rPr>
          <w:rFonts w:ascii="Times New Roman" w:hAnsi="Times New Roman" w:cs="Times New Roman"/>
          <w:sz w:val="24"/>
          <w:szCs w:val="24"/>
        </w:rPr>
        <w:t>f</w:t>
      </w:r>
      <w:r w:rsidRPr="36BE81E9">
        <w:rPr>
          <w:rFonts w:ascii="Times New Roman" w:hAnsi="Times New Roman" w:cs="Times New Roman"/>
          <w:sz w:val="24"/>
          <w:szCs w:val="24"/>
        </w:rPr>
        <w:t xml:space="preserve"> relevant European standards and the future implementation of the EU </w:t>
      </w:r>
      <w:r w:rsidRPr="00225F23">
        <w:rPr>
          <w:rFonts w:ascii="Times New Roman" w:hAnsi="Times New Roman" w:cs="Times New Roman"/>
          <w:i/>
          <w:sz w:val="24"/>
          <w:szCs w:val="24"/>
        </w:rPr>
        <w:t>acquis</w:t>
      </w:r>
      <w:r>
        <w:rPr>
          <w:rFonts w:ascii="Times New Roman" w:hAnsi="Times New Roman" w:cs="Times New Roman"/>
          <w:sz w:val="24"/>
          <w:szCs w:val="24"/>
        </w:rPr>
        <w:t xml:space="preserve"> as well as ethics and integrity. Justice professionals from the IPA III beneficiaries will be encouraged to participate in cross border judicial training with EU professionals</w:t>
      </w:r>
      <w:r w:rsidRPr="36BE81E9">
        <w:rPr>
          <w:rFonts w:ascii="Times New Roman" w:hAnsi="Times New Roman" w:cs="Times New Roman"/>
          <w:sz w:val="24"/>
          <w:szCs w:val="24"/>
        </w:rPr>
        <w:t>.</w:t>
      </w:r>
    </w:p>
    <w:p w14:paraId="4CB8DAB5"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2: Fight against corruption</w:t>
      </w:r>
    </w:p>
    <w:p w14:paraId="6AAB20CD" w14:textId="4D5BCA08"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candidate countries and potential candidates must </w:t>
      </w:r>
      <w:r>
        <w:rPr>
          <w:rFonts w:ascii="Times New Roman" w:hAnsi="Times New Roman" w:cs="Times New Roman"/>
          <w:sz w:val="24"/>
          <w:szCs w:val="24"/>
        </w:rPr>
        <w:t>increase the awareness in the fight against corruption and increase their efficiency in their efforts to eradicate</w:t>
      </w:r>
      <w:r w:rsidRPr="36BE81E9">
        <w:rPr>
          <w:rFonts w:ascii="Times New Roman" w:hAnsi="Times New Roman" w:cs="Times New Roman"/>
          <w:sz w:val="24"/>
          <w:szCs w:val="24"/>
        </w:rPr>
        <w:t xml:space="preserve"> corruption. Corruption remains </w:t>
      </w:r>
      <w:r w:rsidR="000132D8">
        <w:rPr>
          <w:rFonts w:ascii="Times New Roman" w:hAnsi="Times New Roman" w:cs="Times New Roman"/>
          <w:sz w:val="24"/>
          <w:szCs w:val="24"/>
        </w:rPr>
        <w:t>a problem</w:t>
      </w:r>
      <w:r w:rsidR="000132D8" w:rsidRPr="36BE81E9">
        <w:rPr>
          <w:rFonts w:ascii="Times New Roman" w:hAnsi="Times New Roman" w:cs="Times New Roman"/>
          <w:sz w:val="24"/>
          <w:szCs w:val="24"/>
        </w:rPr>
        <w:t xml:space="preserve"> </w:t>
      </w:r>
      <w:r w:rsidRPr="36BE81E9">
        <w:rPr>
          <w:rFonts w:ascii="Times New Roman" w:hAnsi="Times New Roman" w:cs="Times New Roman"/>
          <w:sz w:val="24"/>
          <w:szCs w:val="24"/>
        </w:rPr>
        <w:t xml:space="preserve">in the region, with continued impunity in many cases, especially for high-level corruption. </w:t>
      </w:r>
      <w:r w:rsidR="004702DB">
        <w:rPr>
          <w:rFonts w:ascii="Times New Roman" w:hAnsi="Times New Roman" w:cs="Times New Roman"/>
          <w:sz w:val="24"/>
          <w:szCs w:val="24"/>
        </w:rPr>
        <w:t xml:space="preserve">For negotiating countries, anti-corruption work will be mainstreamed through a strong focus in relevant chapters under the enhanced enlargement methodology. </w:t>
      </w:r>
      <w:r w:rsidRPr="36BE81E9">
        <w:rPr>
          <w:rFonts w:ascii="Times New Roman" w:hAnsi="Times New Roman" w:cs="Times New Roman"/>
          <w:sz w:val="24"/>
          <w:szCs w:val="24"/>
        </w:rPr>
        <w:t>The specific objective of IPA III in this area will be to establish, and strengthen when already existing, track</w:t>
      </w:r>
      <w:r>
        <w:rPr>
          <w:rFonts w:ascii="Times New Roman" w:hAnsi="Times New Roman" w:cs="Times New Roman"/>
          <w:sz w:val="24"/>
          <w:szCs w:val="24"/>
        </w:rPr>
        <w:t>-</w:t>
      </w:r>
      <w:r w:rsidRPr="36BE81E9">
        <w:rPr>
          <w:rFonts w:ascii="Times New Roman" w:hAnsi="Times New Roman" w:cs="Times New Roman"/>
          <w:sz w:val="24"/>
          <w:szCs w:val="24"/>
        </w:rPr>
        <w:t>records of investigation, prosecution and conviction for high-level corruption cases</w:t>
      </w:r>
      <w:r>
        <w:rPr>
          <w:rFonts w:ascii="Times New Roman" w:hAnsi="Times New Roman" w:cs="Times New Roman"/>
          <w:sz w:val="24"/>
          <w:szCs w:val="24"/>
        </w:rPr>
        <w:t>, as well as robust anti-corruption institutional framework</w:t>
      </w:r>
      <w:r w:rsidRPr="36BE81E9">
        <w:rPr>
          <w:rFonts w:ascii="Times New Roman" w:hAnsi="Times New Roman" w:cs="Times New Roman"/>
          <w:sz w:val="24"/>
          <w:szCs w:val="24"/>
        </w:rPr>
        <w:t xml:space="preserve">. </w:t>
      </w:r>
    </w:p>
    <w:p w14:paraId="42164A84"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particular, IPA III will support the consolidation of strong and independent institutions, </w:t>
      </w:r>
      <w:r>
        <w:rPr>
          <w:rFonts w:ascii="Times New Roman" w:hAnsi="Times New Roman" w:cs="Times New Roman"/>
          <w:sz w:val="24"/>
          <w:szCs w:val="24"/>
        </w:rPr>
        <w:t>from undue political influence,</w:t>
      </w:r>
      <w:r w:rsidRPr="36BE81E9">
        <w:rPr>
          <w:rFonts w:ascii="Times New Roman" w:hAnsi="Times New Roman" w:cs="Times New Roman"/>
          <w:sz w:val="24"/>
          <w:szCs w:val="24"/>
        </w:rPr>
        <w:t xml:space="preserve"> which are crucial to prevent and tackle corruption and conduct more effective investigations </w:t>
      </w:r>
      <w:r>
        <w:rPr>
          <w:rFonts w:ascii="Times New Roman" w:hAnsi="Times New Roman" w:cs="Times New Roman"/>
          <w:sz w:val="24"/>
          <w:szCs w:val="24"/>
        </w:rPr>
        <w:t>(including internal ones)</w:t>
      </w:r>
      <w:r w:rsidRPr="36BE81E9">
        <w:rPr>
          <w:rFonts w:ascii="Times New Roman" w:hAnsi="Times New Roman" w:cs="Times New Roman"/>
          <w:sz w:val="24"/>
          <w:szCs w:val="24"/>
        </w:rPr>
        <w:t xml:space="preserve"> and prosecutions, leading to a solid track</w:t>
      </w:r>
      <w:r>
        <w:rPr>
          <w:rFonts w:ascii="Times New Roman" w:hAnsi="Times New Roman" w:cs="Times New Roman"/>
          <w:sz w:val="24"/>
          <w:szCs w:val="24"/>
        </w:rPr>
        <w:t>-</w:t>
      </w:r>
      <w:r w:rsidRPr="36BE81E9">
        <w:rPr>
          <w:rFonts w:ascii="Times New Roman" w:hAnsi="Times New Roman" w:cs="Times New Roman"/>
          <w:sz w:val="24"/>
          <w:szCs w:val="24"/>
        </w:rPr>
        <w:t>record of final court rulings that are enforced, and include dissuasive sanctions.</w:t>
      </w:r>
      <w:r>
        <w:t xml:space="preserve"> </w:t>
      </w:r>
      <w:r w:rsidRPr="36BE81E9">
        <w:rPr>
          <w:rFonts w:ascii="Times New Roman" w:hAnsi="Times New Roman" w:cs="Times New Roman"/>
          <w:sz w:val="24"/>
          <w:szCs w:val="24"/>
        </w:rPr>
        <w:t>Tangible results in the fight against corruption are crucial not only to mitigate the threat to democratic structures, but also to create a stable and transparent business environment</w:t>
      </w:r>
      <w:r>
        <w:rPr>
          <w:rFonts w:ascii="Times New Roman" w:hAnsi="Times New Roman" w:cs="Times New Roman"/>
          <w:sz w:val="24"/>
          <w:szCs w:val="24"/>
        </w:rPr>
        <w:t>,</w:t>
      </w:r>
      <w:r w:rsidRPr="36BE81E9">
        <w:rPr>
          <w:rFonts w:ascii="Times New Roman" w:hAnsi="Times New Roman" w:cs="Times New Roman"/>
          <w:sz w:val="24"/>
          <w:szCs w:val="24"/>
        </w:rPr>
        <w:t xml:space="preserve"> restore trust in state institutions</w:t>
      </w:r>
      <w:r>
        <w:rPr>
          <w:rFonts w:ascii="Times New Roman" w:hAnsi="Times New Roman" w:cs="Times New Roman"/>
          <w:sz w:val="24"/>
          <w:szCs w:val="24"/>
        </w:rPr>
        <w:t xml:space="preserve"> and provide quality services to citizens</w:t>
      </w:r>
      <w:r w:rsidRPr="36BE81E9">
        <w:rPr>
          <w:rFonts w:ascii="Times New Roman" w:hAnsi="Times New Roman" w:cs="Times New Roman"/>
          <w:sz w:val="24"/>
          <w:szCs w:val="24"/>
        </w:rPr>
        <w:t xml:space="preserve">. Therefore, IPA III will </w:t>
      </w:r>
      <w:r w:rsidRPr="36BE81E9">
        <w:rPr>
          <w:rFonts w:ascii="Times New Roman" w:hAnsi="Times New Roman" w:cs="Times New Roman"/>
          <w:sz w:val="24"/>
          <w:szCs w:val="24"/>
        </w:rPr>
        <w:lastRenderedPageBreak/>
        <w:t xml:space="preserve">contribute to strengthen specialised prosecutorial structures to fight corruption (and organised crime) and judicial bodies. The credibility, autonomy and pro-activeness of these structures will also be addressed. </w:t>
      </w:r>
    </w:p>
    <w:p w14:paraId="6C356EF6"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also support measures and structures addressing the stripping of illegally acquired assets, the loss of the ability to hold public office, stricter compliance rules for public officials and accessible information and complaints mechanisms for citizens. </w:t>
      </w:r>
    </w:p>
    <w:p w14:paraId="58EEB85F" w14:textId="586EA16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be pivotal to support beneficiaries in further strengthening their legal and institutional framework for the prevention of corruption and improving the track-record of implementation. In complementarity with the support provided under other windows, Window 1 will contribute to awareness raising and civic education on the negative effects of corruption. </w:t>
      </w:r>
      <w:r w:rsidR="00C27D4A">
        <w:rPr>
          <w:rFonts w:ascii="Times New Roman" w:hAnsi="Times New Roman" w:cs="Times New Roman"/>
          <w:sz w:val="24"/>
          <w:szCs w:val="24"/>
        </w:rPr>
        <w:t xml:space="preserve"> It will also support eGovernance as a means for fighting corruption. </w:t>
      </w:r>
      <w:r w:rsidRPr="36BE81E9">
        <w:rPr>
          <w:rFonts w:ascii="Times New Roman" w:hAnsi="Times New Roman" w:cs="Times New Roman"/>
          <w:sz w:val="24"/>
          <w:szCs w:val="24"/>
        </w:rPr>
        <w:t xml:space="preserve">Civil society will continue to be supported to play a central role here. </w:t>
      </w:r>
    </w:p>
    <w:p w14:paraId="5923E8A8" w14:textId="77777777" w:rsidR="005739B7" w:rsidRPr="005742F9" w:rsidRDefault="005739B7" w:rsidP="005739B7">
      <w:pPr>
        <w:spacing w:after="120" w:line="240" w:lineRule="auto"/>
        <w:jc w:val="both"/>
        <w:rPr>
          <w:rFonts w:ascii="Times New Roman" w:hAnsi="Times New Roman" w:cs="Times New Roman"/>
          <w:sz w:val="24"/>
          <w:szCs w:val="24"/>
        </w:rPr>
      </w:pPr>
    </w:p>
    <w:p w14:paraId="51A14E32"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3: Fight against organised crime / security</w:t>
      </w:r>
    </w:p>
    <w:p w14:paraId="3441B3D9" w14:textId="588097D6"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Organised crime remains a very serious issue in the region. Important smuggling routes run through Turkey and the Western Balkans, and powerful criminal networks with</w:t>
      </w:r>
      <w:r>
        <w:rPr>
          <w:rFonts w:ascii="Times New Roman" w:hAnsi="Times New Roman" w:cs="Times New Roman"/>
          <w:sz w:val="24"/>
          <w:szCs w:val="24"/>
        </w:rPr>
        <w:t xml:space="preserve"> </w:t>
      </w:r>
      <w:r w:rsidRPr="36BE81E9">
        <w:rPr>
          <w:rFonts w:ascii="Times New Roman" w:hAnsi="Times New Roman" w:cs="Times New Roman"/>
          <w:sz w:val="24"/>
          <w:szCs w:val="24"/>
        </w:rPr>
        <w:t>international reach continue to operate from and via this region. Nevertheless, final convictions for organised crime or money laundering in recent years have been very limited in certain cases. Therefore, criminal procedures and operational capacities (the practical implementation of a risk based approach and intelligence led policing) should be improved</w:t>
      </w:r>
      <w:r>
        <w:rPr>
          <w:rFonts w:ascii="Times New Roman" w:hAnsi="Times New Roman" w:cs="Times New Roman"/>
          <w:sz w:val="24"/>
          <w:szCs w:val="24"/>
        </w:rPr>
        <w:t xml:space="preserve"> notably in the context of the EU Policy Cycle / </w:t>
      </w:r>
      <w:r w:rsidRPr="00540AE6">
        <w:rPr>
          <w:rFonts w:ascii="Times New Roman" w:hAnsi="Times New Roman" w:cs="Times New Roman"/>
          <w:sz w:val="24"/>
          <w:szCs w:val="24"/>
        </w:rPr>
        <w:t xml:space="preserve">European Multidisciplinary Platform Against Criminal Threats </w:t>
      </w:r>
      <w:r>
        <w:rPr>
          <w:rFonts w:ascii="Times New Roman" w:hAnsi="Times New Roman" w:cs="Times New Roman"/>
          <w:sz w:val="24"/>
          <w:szCs w:val="24"/>
        </w:rPr>
        <w:t>(EMPACT) for organised and serious international crime.</w:t>
      </w:r>
    </w:p>
    <w:p w14:paraId="579D63F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 of IPA III in this area will be to set up effective systems to establish and strengthen existing track</w:t>
      </w:r>
      <w:r>
        <w:rPr>
          <w:rFonts w:ascii="Times New Roman" w:hAnsi="Times New Roman" w:cs="Times New Roman"/>
          <w:sz w:val="24"/>
          <w:szCs w:val="24"/>
        </w:rPr>
        <w:t>-</w:t>
      </w:r>
      <w:r w:rsidRPr="36BE81E9">
        <w:rPr>
          <w:rFonts w:ascii="Times New Roman" w:hAnsi="Times New Roman" w:cs="Times New Roman"/>
          <w:sz w:val="24"/>
          <w:szCs w:val="24"/>
        </w:rPr>
        <w:t xml:space="preserve">records of proactive investigation, prosecution and conviction for organised crime as well as to counter radicalisation and combating all forms of violent extremism. </w:t>
      </w:r>
    </w:p>
    <w:p w14:paraId="4C102C21"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support in the fight against </w:t>
      </w:r>
      <w:r w:rsidRPr="36BE81E9">
        <w:rPr>
          <w:rFonts w:ascii="Times New Roman" w:hAnsi="Times New Roman" w:cs="Times New Roman"/>
          <w:b/>
          <w:bCs/>
          <w:sz w:val="24"/>
          <w:szCs w:val="24"/>
        </w:rPr>
        <w:t>organised crime</w:t>
      </w:r>
      <w:r w:rsidRPr="36BE81E9">
        <w:rPr>
          <w:rFonts w:ascii="Times New Roman" w:hAnsi="Times New Roman" w:cs="Times New Roman"/>
          <w:sz w:val="24"/>
          <w:szCs w:val="24"/>
        </w:rPr>
        <w:t xml:space="preserve"> will focus on assisting authorities to develop a more strategic approach towards tackling various forms of organised crime, including a better priority setting and allocation of adequate means accordingly. This should result in better identifying and effectively dismantling criminal networks and their economic bases more effectively, making systematic and proactive use of financial investigations and applying asset confiscation. Beneficiaries also have to step up their capacity to effectively address organised crime and money laundering on-line and to develop a strategic approach towards tackling cyber criminality. </w:t>
      </w:r>
    </w:p>
    <w:p w14:paraId="2379D970" w14:textId="1DC196E2"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Support will also focus on operational cross-border </w:t>
      </w:r>
      <w:r>
        <w:rPr>
          <w:rFonts w:ascii="Times New Roman" w:hAnsi="Times New Roman" w:cs="Times New Roman"/>
          <w:sz w:val="24"/>
          <w:szCs w:val="24"/>
        </w:rPr>
        <w:t xml:space="preserve">law enforcement </w:t>
      </w:r>
      <w:r w:rsidRPr="36BE81E9">
        <w:rPr>
          <w:rFonts w:ascii="Times New Roman" w:hAnsi="Times New Roman" w:cs="Times New Roman"/>
          <w:sz w:val="24"/>
          <w:szCs w:val="24"/>
        </w:rPr>
        <w:t>and judicial cooperation. This is key to help establishing a concrete and sustained track</w:t>
      </w:r>
      <w:r>
        <w:rPr>
          <w:rFonts w:ascii="Times New Roman" w:hAnsi="Times New Roman" w:cs="Times New Roman"/>
          <w:sz w:val="24"/>
          <w:szCs w:val="24"/>
        </w:rPr>
        <w:t>-</w:t>
      </w:r>
      <w:r w:rsidRPr="36BE81E9">
        <w:rPr>
          <w:rFonts w:ascii="Times New Roman" w:hAnsi="Times New Roman" w:cs="Times New Roman"/>
          <w:sz w:val="24"/>
          <w:szCs w:val="24"/>
        </w:rPr>
        <w:t>record in tackling organised crime and money laundering. To effectively tackle serious and organised crime, including cybercrime</w:t>
      </w:r>
      <w:r w:rsidR="004702DB">
        <w:rPr>
          <w:rFonts w:ascii="Times New Roman" w:hAnsi="Times New Roman" w:cs="Times New Roman"/>
          <w:sz w:val="24"/>
          <w:szCs w:val="24"/>
        </w:rPr>
        <w:t xml:space="preserve"> and fight against t</w:t>
      </w:r>
      <w:r w:rsidR="004702DB" w:rsidRPr="00625DBE">
        <w:rPr>
          <w:rFonts w:ascii="Times New Roman" w:hAnsi="Times New Roman" w:cs="Times New Roman"/>
          <w:sz w:val="24"/>
          <w:szCs w:val="24"/>
        </w:rPr>
        <w:t>he illicit trade in small arms and light weapons</w:t>
      </w:r>
      <w:r w:rsidRPr="36BE81E9">
        <w:rPr>
          <w:rFonts w:ascii="Times New Roman" w:hAnsi="Times New Roman" w:cs="Times New Roman"/>
          <w:sz w:val="24"/>
          <w:szCs w:val="24"/>
        </w:rPr>
        <w:t>, IPA III will continue to support operational cooperation with relevant EU agencies, Member States’ agencies and international law enforcement organisations operating in criminal justice, law enforcement investigations and witness protection. Operational cooperation, including with EU agencies, has intensified, but overall the track</w:t>
      </w:r>
      <w:r>
        <w:rPr>
          <w:rFonts w:ascii="Times New Roman" w:hAnsi="Times New Roman" w:cs="Times New Roman"/>
          <w:sz w:val="24"/>
          <w:szCs w:val="24"/>
        </w:rPr>
        <w:t>-</w:t>
      </w:r>
      <w:r w:rsidRPr="36BE81E9">
        <w:rPr>
          <w:rFonts w:ascii="Times New Roman" w:hAnsi="Times New Roman" w:cs="Times New Roman"/>
          <w:sz w:val="24"/>
          <w:szCs w:val="24"/>
        </w:rPr>
        <w:t xml:space="preserve">record in organised crime cases often remains weak. EU assistance will therefore be crucial to enable </w:t>
      </w:r>
      <w:r>
        <w:rPr>
          <w:rFonts w:ascii="Times New Roman" w:hAnsi="Times New Roman" w:cs="Times New Roman"/>
          <w:sz w:val="24"/>
          <w:szCs w:val="24"/>
        </w:rPr>
        <w:t xml:space="preserve">proactive, timely, secure and trustful </w:t>
      </w:r>
      <w:r w:rsidRPr="36BE81E9">
        <w:rPr>
          <w:rFonts w:ascii="Times New Roman" w:hAnsi="Times New Roman" w:cs="Times New Roman"/>
          <w:sz w:val="24"/>
          <w:szCs w:val="24"/>
        </w:rPr>
        <w:t xml:space="preserve">exchange of information and evidence during investigations and prosecutions. </w:t>
      </w:r>
      <w:r>
        <w:rPr>
          <w:rFonts w:ascii="Times New Roman" w:hAnsi="Times New Roman" w:cs="Times New Roman"/>
          <w:sz w:val="24"/>
          <w:szCs w:val="24"/>
        </w:rPr>
        <w:t xml:space="preserve">In addition, IPA III beneficiaries </w:t>
      </w:r>
      <w:r w:rsidRPr="002B5CFF">
        <w:rPr>
          <w:rFonts w:ascii="Times New Roman" w:hAnsi="Times New Roman" w:cs="Times New Roman"/>
          <w:sz w:val="24"/>
          <w:szCs w:val="24"/>
        </w:rPr>
        <w:t>that are parties to international agreements on mutual legal assistance should accept the European Public Prosecutor’s Office (EPPO) as a competent authority of the Member States participating in the EPPO for the implementation of those agreements</w:t>
      </w:r>
      <w:r>
        <w:rPr>
          <w:rFonts w:ascii="Times New Roman" w:hAnsi="Times New Roman" w:cs="Times New Roman"/>
          <w:sz w:val="24"/>
          <w:szCs w:val="24"/>
        </w:rPr>
        <w:t>. Cooperation between the EPPO and the IPA III beneficiaries should be facilitated by the conclusion of working arrangement.</w:t>
      </w:r>
      <w:r>
        <w:rPr>
          <w:rStyle w:val="DipnotBavurusu"/>
          <w:rFonts w:ascii="Times New Roman" w:hAnsi="Times New Roman" w:cs="Times New Roman"/>
          <w:sz w:val="24"/>
          <w:szCs w:val="24"/>
        </w:rPr>
        <w:footnoteReference w:id="14"/>
      </w:r>
      <w:r>
        <w:rPr>
          <w:rFonts w:ascii="Times New Roman" w:hAnsi="Times New Roman" w:cs="Times New Roman"/>
          <w:sz w:val="24"/>
          <w:szCs w:val="24"/>
        </w:rPr>
        <w:t xml:space="preserve"> </w:t>
      </w:r>
    </w:p>
    <w:p w14:paraId="1497634D"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Special attention will be given to enhancing specialised law enforcement. Modern investigation techniques should be further rolled out, including intelligence-led policing, the use of special investigation methods, DNA analysis, financial and digital forensics, etc.</w:t>
      </w:r>
    </w:p>
    <w:p w14:paraId="0EC92AA3"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Emerging security issues at global level also need to be addressed, in particular in the area of cybersecurity and building State and societal resilience against hybrid </w:t>
      </w:r>
      <w:r>
        <w:rPr>
          <w:rFonts w:ascii="Times New Roman" w:hAnsi="Times New Roman" w:cs="Times New Roman"/>
          <w:sz w:val="24"/>
          <w:szCs w:val="24"/>
        </w:rPr>
        <w:t>threats</w:t>
      </w:r>
      <w:r w:rsidRPr="36BE81E9">
        <w:rPr>
          <w:rFonts w:ascii="Times New Roman" w:hAnsi="Times New Roman" w:cs="Times New Roman"/>
          <w:sz w:val="24"/>
          <w:szCs w:val="24"/>
        </w:rPr>
        <w:t xml:space="preserve">. Particular attention will be paid to providing increased support to capacity-building in the area of </w:t>
      </w:r>
      <w:r w:rsidRPr="36BE81E9">
        <w:rPr>
          <w:rFonts w:ascii="Times New Roman" w:hAnsi="Times New Roman" w:cs="Times New Roman"/>
          <w:b/>
          <w:bCs/>
          <w:sz w:val="24"/>
          <w:szCs w:val="24"/>
        </w:rPr>
        <w:t>cyber-security and fight against cyber-crime</w:t>
      </w:r>
      <w:r w:rsidRPr="36BE81E9">
        <w:rPr>
          <w:rFonts w:ascii="Times New Roman" w:hAnsi="Times New Roman" w:cs="Times New Roman"/>
          <w:sz w:val="24"/>
          <w:szCs w:val="24"/>
        </w:rPr>
        <w:t xml:space="preserve">. </w:t>
      </w:r>
    </w:p>
    <w:p w14:paraId="56756264"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Continuous support will be offered to reach the above strategic objectives on </w:t>
      </w:r>
      <w:r w:rsidRPr="005742F9">
        <w:rPr>
          <w:rFonts w:ascii="Times New Roman" w:hAnsi="Times New Roman" w:cs="Times New Roman"/>
          <w:b/>
          <w:bCs/>
          <w:sz w:val="24"/>
          <w:szCs w:val="24"/>
        </w:rPr>
        <w:t xml:space="preserve">counter-terrorism as well as on the prevention and countering of violent extremism and radicalisation. </w:t>
      </w:r>
      <w:r w:rsidRPr="005742F9">
        <w:rPr>
          <w:rFonts w:ascii="Times New Roman" w:hAnsi="Times New Roman" w:cs="Times New Roman"/>
          <w:sz w:val="24"/>
          <w:szCs w:val="24"/>
        </w:rPr>
        <w:t>Strategic, legislative and institutional capacities need to be strengthened. For the Western Balkans region, the Joint Action Plan on Counter-Terrorism for the Western Balkans</w:t>
      </w:r>
      <w:r w:rsidRPr="005742F9">
        <w:rPr>
          <w:rFonts w:ascii="Times New Roman" w:hAnsi="Times New Roman" w:cs="Times New Roman"/>
          <w:sz w:val="24"/>
          <w:szCs w:val="24"/>
          <w:vertAlign w:val="superscript"/>
        </w:rPr>
        <w:footnoteReference w:id="15"/>
      </w:r>
      <w:r w:rsidRPr="005742F9">
        <w:rPr>
          <w:rFonts w:ascii="Times New Roman" w:hAnsi="Times New Roman" w:cs="Times New Roman"/>
          <w:sz w:val="24"/>
          <w:szCs w:val="24"/>
        </w:rPr>
        <w:t xml:space="preserve"> and the bilateral arrangements implementing it provide a comprehensive and structured framework including for future work. </w:t>
      </w:r>
    </w:p>
    <w:p w14:paraId="704C727D"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will therefore also focus on countering-terrorism as well as preventing and countering all forms of violent extremism and radicalisation. In this context, IPA III will build on existing frameworks and actions at all levels including the regional level but also address evolving threat pictures and new threats. A long-term response to the issue of returning foreign fighters and their families is essential.</w:t>
      </w:r>
    </w:p>
    <w:p w14:paraId="3FD10F49"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sz w:val="24"/>
          <w:szCs w:val="24"/>
        </w:rPr>
        <w:t>Cross-</w:t>
      </w:r>
      <w:r w:rsidRPr="36BE81E9">
        <w:rPr>
          <w:rFonts w:ascii="Times New Roman" w:hAnsi="Times New Roman" w:cs="Times New Roman"/>
          <w:sz w:val="24"/>
          <w:szCs w:val="24"/>
        </w:rPr>
        <w:t xml:space="preserve">border </w:t>
      </w:r>
      <w:r>
        <w:rPr>
          <w:rFonts w:ascii="Times New Roman" w:hAnsi="Times New Roman" w:cs="Times New Roman"/>
          <w:sz w:val="24"/>
          <w:szCs w:val="24"/>
        </w:rPr>
        <w:t>law enforcement</w:t>
      </w:r>
      <w:r w:rsidRPr="36BE81E9">
        <w:rPr>
          <w:rFonts w:ascii="Times New Roman" w:hAnsi="Times New Roman" w:cs="Times New Roman"/>
          <w:sz w:val="24"/>
          <w:szCs w:val="24"/>
        </w:rPr>
        <w:t xml:space="preserve"> and judicial cooperation and information exchange will also be key to address the challenges of cyber-security, cybercrime, counter-terrorism and radicalisation (off-line and online). This includes </w:t>
      </w:r>
      <w:r>
        <w:rPr>
          <w:rFonts w:ascii="Times New Roman" w:hAnsi="Times New Roman" w:cs="Times New Roman"/>
          <w:sz w:val="24"/>
          <w:szCs w:val="24"/>
        </w:rPr>
        <w:t>the promotion and increased connections to</w:t>
      </w:r>
      <w:r w:rsidRPr="36BE81E9">
        <w:rPr>
          <w:rFonts w:ascii="Times New Roman" w:hAnsi="Times New Roman" w:cs="Times New Roman"/>
          <w:sz w:val="24"/>
          <w:szCs w:val="24"/>
        </w:rPr>
        <w:t xml:space="preserve"> the Secure Information Exchange Network Application (SIENA) platform for information exchange with Member States and with Europol. Most beneficiaries need to continue the current efforts to address the issue of returning foreign fighters and to prevent extremism and radicalisation, including inside and outside of prisons. For these purposes, tracing of financial flows, money laundering and terrorism fighting shall be tackled proactively and strategically.</w:t>
      </w:r>
      <w:r>
        <w:rPr>
          <w:rFonts w:ascii="Times New Roman" w:hAnsi="Times New Roman" w:cs="Times New Roman"/>
          <w:sz w:val="24"/>
          <w:szCs w:val="24"/>
        </w:rPr>
        <w:t xml:space="preserve">  </w:t>
      </w:r>
    </w:p>
    <w:p w14:paraId="5244305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regulatory framework for the protection of critical infrastructure should evolve and be implemented in line with the </w:t>
      </w:r>
      <w:r>
        <w:rPr>
          <w:rFonts w:ascii="Times New Roman" w:hAnsi="Times New Roman" w:cs="Times New Roman"/>
          <w:sz w:val="24"/>
          <w:szCs w:val="24"/>
        </w:rPr>
        <w:t xml:space="preserve">EU </w:t>
      </w:r>
      <w:r w:rsidRPr="009F6272">
        <w:rPr>
          <w:rFonts w:ascii="Times New Roman" w:hAnsi="Times New Roman" w:cs="Times New Roman"/>
          <w:i/>
          <w:sz w:val="24"/>
          <w:szCs w:val="24"/>
        </w:rPr>
        <w:t>acquis</w:t>
      </w:r>
      <w:r w:rsidRPr="36BE81E9">
        <w:rPr>
          <w:rFonts w:ascii="Times New Roman" w:hAnsi="Times New Roman" w:cs="Times New Roman"/>
          <w:sz w:val="24"/>
          <w:szCs w:val="24"/>
        </w:rPr>
        <w:t xml:space="preserve"> and take into account the evolving challenges linked to </w:t>
      </w:r>
      <w:r>
        <w:rPr>
          <w:rFonts w:ascii="Times New Roman" w:hAnsi="Times New Roman" w:cs="Times New Roman"/>
          <w:sz w:val="24"/>
          <w:szCs w:val="24"/>
        </w:rPr>
        <w:t xml:space="preserve">interdependencies </w:t>
      </w:r>
      <w:r w:rsidRPr="36BE81E9">
        <w:rPr>
          <w:rFonts w:ascii="Times New Roman" w:hAnsi="Times New Roman" w:cs="Times New Roman"/>
          <w:sz w:val="24"/>
          <w:szCs w:val="24"/>
        </w:rPr>
        <w:t xml:space="preserve">and cascading effects. Evolving threat pictures also call for work to be done on </w:t>
      </w:r>
      <w:r>
        <w:rPr>
          <w:rFonts w:ascii="Times New Roman" w:hAnsi="Times New Roman" w:cs="Times New Roman"/>
          <w:sz w:val="24"/>
          <w:szCs w:val="24"/>
        </w:rPr>
        <w:t xml:space="preserve">the protection of public spaces, </w:t>
      </w:r>
      <w:r w:rsidRPr="36BE81E9">
        <w:rPr>
          <w:rFonts w:ascii="Times New Roman" w:hAnsi="Times New Roman" w:cs="Times New Roman"/>
          <w:sz w:val="24"/>
          <w:szCs w:val="24"/>
        </w:rPr>
        <w:t>Chemical, biological, radiological and nuclear (CBRN) related threats and new and emerging threats, such as unmanned aircraft systems.</w:t>
      </w:r>
    </w:p>
    <w:p w14:paraId="1CFE9A99" w14:textId="6E0A7771"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will also support actions addressing the threats of anti-personnel mines and explosive remnants of war, including improvised explosive devices. Mines continue to cause dreadful harm, instil fear and</w:t>
      </w:r>
      <w:r w:rsidR="0097755D">
        <w:rPr>
          <w:rFonts w:ascii="Times New Roman" w:hAnsi="Times New Roman" w:cs="Times New Roman"/>
          <w:sz w:val="24"/>
          <w:szCs w:val="24"/>
        </w:rPr>
        <w:t xml:space="preserve"> might</w:t>
      </w:r>
      <w:r w:rsidRPr="36BE81E9">
        <w:rPr>
          <w:rFonts w:ascii="Times New Roman" w:hAnsi="Times New Roman" w:cs="Times New Roman"/>
          <w:sz w:val="24"/>
          <w:szCs w:val="24"/>
        </w:rPr>
        <w:t xml:space="preserve"> stop refugees and internally displaced people from returning to their homes. Mines also continue to strip entire regions of a fair chance of economic recovery and development.</w:t>
      </w:r>
    </w:p>
    <w:p w14:paraId="6E7DAD21"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4: Migration and border management</w:t>
      </w:r>
    </w:p>
    <w:p w14:paraId="6667CB1D" w14:textId="7A54EA9D"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 of IPA III in this area is to further step up strategic and operational cooperation on migration, along different pillars: irregular migration, border management, international</w:t>
      </w:r>
      <w:r>
        <w:rPr>
          <w:rFonts w:ascii="Times New Roman" w:hAnsi="Times New Roman" w:cs="Times New Roman"/>
          <w:sz w:val="24"/>
          <w:szCs w:val="24"/>
        </w:rPr>
        <w:t xml:space="preserve"> </w:t>
      </w:r>
      <w:r w:rsidRPr="36BE81E9">
        <w:rPr>
          <w:rFonts w:ascii="Times New Roman" w:hAnsi="Times New Roman" w:cs="Times New Roman"/>
          <w:sz w:val="24"/>
          <w:szCs w:val="24"/>
        </w:rPr>
        <w:t>protection and legal migration. IPA III will continue to support the beneficiaries in developing the necessary institutional framework and capacities that are necessary to manage migration in all its aspects</w:t>
      </w:r>
      <w:r w:rsidR="005A43FB">
        <w:rPr>
          <w:rFonts w:ascii="Times New Roman" w:hAnsi="Times New Roman" w:cs="Times New Roman"/>
          <w:sz w:val="24"/>
          <w:szCs w:val="24"/>
        </w:rPr>
        <w:t>. It will also promote a</w:t>
      </w:r>
      <w:r w:rsidRPr="36BE81E9">
        <w:rPr>
          <w:rFonts w:ascii="Times New Roman" w:hAnsi="Times New Roman" w:cs="Times New Roman"/>
          <w:sz w:val="24"/>
          <w:szCs w:val="24"/>
        </w:rPr>
        <w:t>lign</w:t>
      </w:r>
      <w:r w:rsidR="005A43FB">
        <w:rPr>
          <w:rFonts w:ascii="Times New Roman" w:hAnsi="Times New Roman" w:cs="Times New Roman"/>
          <w:sz w:val="24"/>
          <w:szCs w:val="24"/>
        </w:rPr>
        <w:t>ment</w:t>
      </w:r>
      <w:r w:rsidRPr="36BE81E9">
        <w:rPr>
          <w:rFonts w:ascii="Times New Roman" w:hAnsi="Times New Roman" w:cs="Times New Roman"/>
          <w:sz w:val="24"/>
          <w:szCs w:val="24"/>
        </w:rPr>
        <w:t xml:space="preserve"> with EU and international standards on the external and internal dimensions of migration</w:t>
      </w:r>
      <w:r w:rsidR="00015EB0">
        <w:rPr>
          <w:rFonts w:ascii="Times New Roman" w:hAnsi="Times New Roman" w:cs="Times New Roman"/>
          <w:sz w:val="24"/>
          <w:szCs w:val="24"/>
        </w:rPr>
        <w:t>, including the New Pact on Migration and Asylum</w:t>
      </w:r>
      <w:r w:rsidR="004702DB">
        <w:rPr>
          <w:rStyle w:val="DipnotBavurusu"/>
          <w:rFonts w:ascii="Times New Roman" w:hAnsi="Times New Roman" w:cs="Times New Roman"/>
          <w:sz w:val="24"/>
          <w:szCs w:val="24"/>
        </w:rPr>
        <w:footnoteReference w:id="16"/>
      </w:r>
      <w:r w:rsidRPr="36BE81E9">
        <w:rPr>
          <w:rFonts w:ascii="Times New Roman" w:hAnsi="Times New Roman" w:cs="Times New Roman"/>
          <w:sz w:val="24"/>
          <w:szCs w:val="24"/>
        </w:rPr>
        <w:t xml:space="preserve">. </w:t>
      </w:r>
    </w:p>
    <w:p w14:paraId="36E808C1" w14:textId="791A9C00"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Dealing with mixed migration flows remains a challenge across the region; and smuggling of migrants and trafficking in human beings, particularly women and children, remain major issues of concern. Support under IPA III will continue to prioritise reducing irregular migration, cooperation in the region and with EU Member States to fight trafficking in human beings and migrants smuggling and an effective implementation of readmission and return policies. It will continue to strengthen </w:t>
      </w:r>
      <w:r w:rsidR="005A43FB">
        <w:rPr>
          <w:rFonts w:ascii="Times New Roman" w:hAnsi="Times New Roman" w:cs="Times New Roman"/>
          <w:sz w:val="24"/>
          <w:szCs w:val="24"/>
        </w:rPr>
        <w:t>development and</w:t>
      </w:r>
      <w:r w:rsidRPr="36BE81E9">
        <w:rPr>
          <w:rFonts w:ascii="Times New Roman" w:hAnsi="Times New Roman" w:cs="Times New Roman"/>
          <w:sz w:val="24"/>
          <w:szCs w:val="24"/>
        </w:rPr>
        <w:t xml:space="preserve"> gender sensitive migration policies as well as the establishment</w:t>
      </w:r>
      <w:r w:rsidR="0097755D">
        <w:rPr>
          <w:rFonts w:ascii="Times New Roman" w:hAnsi="Times New Roman" w:cs="Times New Roman"/>
          <w:sz w:val="24"/>
          <w:szCs w:val="24"/>
        </w:rPr>
        <w:t xml:space="preserve"> and development</w:t>
      </w:r>
      <w:r w:rsidRPr="36BE81E9">
        <w:rPr>
          <w:rFonts w:ascii="Times New Roman" w:hAnsi="Times New Roman" w:cs="Times New Roman"/>
          <w:sz w:val="24"/>
          <w:szCs w:val="24"/>
        </w:rPr>
        <w:t xml:space="preserve"> of legal and institutional frameworks, in line with the evolving EU migration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and policy as well as with international standards. Capacities will continue to be developed to facilitate assisted voluntary and non-voluntary return both to and from the region, including on incentives to help integrate returning citizens.</w:t>
      </w:r>
      <w:r w:rsidR="005A43FB">
        <w:rPr>
          <w:rFonts w:ascii="Times New Roman" w:hAnsi="Times New Roman" w:cs="Times New Roman"/>
          <w:sz w:val="24"/>
          <w:szCs w:val="24"/>
        </w:rPr>
        <w:t xml:space="preserve"> </w:t>
      </w:r>
    </w:p>
    <w:p w14:paraId="7EA49932" w14:textId="238FFD26"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Through IPA III, support would aim to align with the European integrated border management strategic objectives and capacities, including by improving border surveillance and checks at border crossing points as well as further developing and implementing mechanisms for cooperation in the region and with EU agencies, such as the European Border and Coast Guards agency. These efforts will also contribute to managing irregular migration and to fighting organised crime. In complementarity with the Integrated Border Management Fund, IPA III assistance will therefore focus on the continuous alignment with the relevant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and European standards</w:t>
      </w:r>
      <w:r w:rsidR="00A4357A">
        <w:rPr>
          <w:rFonts w:ascii="Times New Roman" w:hAnsi="Times New Roman" w:cs="Times New Roman"/>
          <w:sz w:val="24"/>
          <w:szCs w:val="24"/>
        </w:rPr>
        <w:t xml:space="preserve">. It will also focus </w:t>
      </w:r>
      <w:r w:rsidRPr="36BE81E9">
        <w:rPr>
          <w:rFonts w:ascii="Times New Roman" w:hAnsi="Times New Roman" w:cs="Times New Roman"/>
          <w:sz w:val="24"/>
          <w:szCs w:val="24"/>
        </w:rPr>
        <w:t>on increasing operational capacities, fostering further compliance of law enforcement institutions with rule of law and good governance principles, and stepping up international police cooperation</w:t>
      </w:r>
      <w:r w:rsidR="00A4357A">
        <w:rPr>
          <w:rFonts w:ascii="Times New Roman" w:hAnsi="Times New Roman" w:cs="Times New Roman"/>
          <w:sz w:val="24"/>
          <w:szCs w:val="24"/>
        </w:rPr>
        <w:t>. T</w:t>
      </w:r>
      <w:r w:rsidRPr="36BE81E9">
        <w:rPr>
          <w:rFonts w:ascii="Times New Roman" w:hAnsi="Times New Roman" w:cs="Times New Roman"/>
          <w:sz w:val="24"/>
          <w:szCs w:val="24"/>
        </w:rPr>
        <w:t xml:space="preserve">he ultimate objective </w:t>
      </w:r>
      <w:r w:rsidR="00A4357A">
        <w:rPr>
          <w:rFonts w:ascii="Times New Roman" w:hAnsi="Times New Roman" w:cs="Times New Roman"/>
          <w:sz w:val="24"/>
          <w:szCs w:val="24"/>
        </w:rPr>
        <w:t>will be</w:t>
      </w:r>
      <w:r w:rsidRPr="36BE81E9">
        <w:rPr>
          <w:rFonts w:ascii="Times New Roman" w:hAnsi="Times New Roman" w:cs="Times New Roman"/>
          <w:sz w:val="24"/>
          <w:szCs w:val="24"/>
        </w:rPr>
        <w:t xml:space="preserve"> establishing concrete results and a sustained track</w:t>
      </w:r>
      <w:r>
        <w:rPr>
          <w:rFonts w:ascii="Times New Roman" w:hAnsi="Times New Roman" w:cs="Times New Roman"/>
          <w:sz w:val="24"/>
          <w:szCs w:val="24"/>
        </w:rPr>
        <w:t>-</w:t>
      </w:r>
      <w:r w:rsidRPr="36BE81E9">
        <w:rPr>
          <w:rFonts w:ascii="Times New Roman" w:hAnsi="Times New Roman" w:cs="Times New Roman"/>
          <w:sz w:val="24"/>
          <w:szCs w:val="24"/>
        </w:rPr>
        <w:t>record in these areas. IPA III also aims at strengthening international and regional cooperation (including with EU agencies, Member States and the respective liaison officers in the region) and sharing of relevant information</w:t>
      </w:r>
      <w:r>
        <w:rPr>
          <w:rFonts w:ascii="Times New Roman" w:hAnsi="Times New Roman" w:cs="Times New Roman"/>
          <w:sz w:val="24"/>
          <w:szCs w:val="24"/>
        </w:rPr>
        <w:t xml:space="preserve"> and data</w:t>
      </w:r>
      <w:r w:rsidRPr="36BE81E9">
        <w:rPr>
          <w:rFonts w:ascii="Times New Roman" w:hAnsi="Times New Roman" w:cs="Times New Roman"/>
          <w:sz w:val="24"/>
          <w:szCs w:val="24"/>
        </w:rPr>
        <w:t xml:space="preserve"> (such as </w:t>
      </w:r>
      <w:r>
        <w:rPr>
          <w:rFonts w:ascii="Times New Roman" w:hAnsi="Times New Roman" w:cs="Times New Roman"/>
          <w:sz w:val="24"/>
          <w:szCs w:val="24"/>
        </w:rPr>
        <w:t>current figures on migration and</w:t>
      </w:r>
      <w:r w:rsidRPr="36BE81E9">
        <w:rPr>
          <w:rFonts w:ascii="Times New Roman" w:hAnsi="Times New Roman" w:cs="Times New Roman"/>
          <w:sz w:val="24"/>
          <w:szCs w:val="24"/>
        </w:rPr>
        <w:t xml:space="preserve"> risk analyses).</w:t>
      </w:r>
      <w:r w:rsidR="00CA5132" w:rsidRPr="00CA5132">
        <w:t xml:space="preserve"> </w:t>
      </w:r>
      <w:r w:rsidR="00CA5132" w:rsidRPr="00CA5132">
        <w:rPr>
          <w:rFonts w:ascii="Times New Roman" w:hAnsi="Times New Roman" w:cs="Times New Roman"/>
          <w:sz w:val="24"/>
          <w:szCs w:val="24"/>
        </w:rPr>
        <w:t xml:space="preserve">). IPA III will work towards supporting the development of systems that could enhance information and data exchange at regional level. </w:t>
      </w:r>
      <w:r w:rsidR="00450731">
        <w:rPr>
          <w:rFonts w:ascii="Times New Roman" w:hAnsi="Times New Roman" w:cs="Times New Roman"/>
          <w:sz w:val="24"/>
          <w:szCs w:val="24"/>
        </w:rPr>
        <w:t xml:space="preserve">This </w:t>
      </w:r>
      <w:r w:rsidR="00CA5132" w:rsidRPr="00CA5132">
        <w:rPr>
          <w:rFonts w:ascii="Times New Roman" w:hAnsi="Times New Roman" w:cs="Times New Roman"/>
          <w:sz w:val="24"/>
          <w:szCs w:val="24"/>
        </w:rPr>
        <w:t>include</w:t>
      </w:r>
      <w:r w:rsidR="00450731">
        <w:rPr>
          <w:rFonts w:ascii="Times New Roman" w:hAnsi="Times New Roman" w:cs="Times New Roman"/>
          <w:sz w:val="24"/>
          <w:szCs w:val="24"/>
        </w:rPr>
        <w:t>s</w:t>
      </w:r>
      <w:r w:rsidR="00CA5132" w:rsidRPr="00CA5132">
        <w:rPr>
          <w:rFonts w:ascii="Times New Roman" w:hAnsi="Times New Roman" w:cs="Times New Roman"/>
          <w:sz w:val="24"/>
          <w:szCs w:val="24"/>
        </w:rPr>
        <w:t xml:space="preserve"> the establishment of National Coordination Centres for Border Control (NCCs) in line with EU/Schengen acquis </w:t>
      </w:r>
      <w:r w:rsidR="00450731">
        <w:rPr>
          <w:rFonts w:ascii="Times New Roman" w:hAnsi="Times New Roman" w:cs="Times New Roman"/>
          <w:sz w:val="24"/>
          <w:szCs w:val="24"/>
        </w:rPr>
        <w:t>(</w:t>
      </w:r>
      <w:r w:rsidR="00CA5132" w:rsidRPr="00CA5132">
        <w:rPr>
          <w:rFonts w:ascii="Times New Roman" w:hAnsi="Times New Roman" w:cs="Times New Roman"/>
          <w:sz w:val="24"/>
          <w:szCs w:val="24"/>
        </w:rPr>
        <w:t>the EUROSUR framework) and a regional Western Balkans network between them. Moreover, IPA III will also support the establishment and deployment of interoperable national biometric registration/data sharing systems that can facilitate exchange of information/data between Western Balkans partners, and could be connected to EU systems, such as Eurodac, upon accession to the EU.</w:t>
      </w:r>
    </w:p>
    <w:p w14:paraId="59E3D9E0" w14:textId="77777777" w:rsidR="00382DF6" w:rsidRDefault="005739B7" w:rsidP="00382DF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With regard to the</w:t>
      </w:r>
      <w:r w:rsidRPr="36BE81E9">
        <w:rPr>
          <w:rFonts w:ascii="Times New Roman" w:hAnsi="Times New Roman" w:cs="Times New Roman"/>
          <w:sz w:val="24"/>
          <w:szCs w:val="24"/>
        </w:rPr>
        <w:t xml:space="preserve"> </w:t>
      </w:r>
      <w:r>
        <w:rPr>
          <w:rFonts w:ascii="Times New Roman" w:hAnsi="Times New Roman" w:cs="Times New Roman"/>
          <w:sz w:val="24"/>
          <w:szCs w:val="24"/>
        </w:rPr>
        <w:t>right to asylum</w:t>
      </w:r>
      <w:r w:rsidRPr="36BE81E9">
        <w:rPr>
          <w:rFonts w:ascii="Times New Roman" w:hAnsi="Times New Roman" w:cs="Times New Roman"/>
          <w:sz w:val="24"/>
          <w:szCs w:val="24"/>
        </w:rPr>
        <w:t xml:space="preserve">, </w:t>
      </w:r>
      <w:r w:rsidR="00BF6208" w:rsidRPr="00BF6208">
        <w:rPr>
          <w:rFonts w:ascii="Times New Roman" w:hAnsi="Times New Roman" w:cs="Times New Roman"/>
          <w:sz w:val="24"/>
          <w:szCs w:val="24"/>
        </w:rPr>
        <w:t xml:space="preserve">IPA III beneficiaries will receive support to strengthen and develop their capacity to examine applications for international protection in a fair and efficient manner. The right to asylum is a fundamental right; guarantying it is an international obligation, with due respect to the 1951 Geneva Convention on the protection of refugees and the 1967 Protocol. Moreover, the right to asylum is also guaranteed by the EU Charter of Fundamental Rights (art. 18). </w:t>
      </w:r>
    </w:p>
    <w:p w14:paraId="51A3472B" w14:textId="3842AA5B" w:rsidR="00382DF6" w:rsidRDefault="00382DF6" w:rsidP="00382DF6">
      <w:pPr>
        <w:spacing w:after="120" w:line="240" w:lineRule="auto"/>
        <w:jc w:val="both"/>
        <w:rPr>
          <w:rFonts w:ascii="Times New Roman" w:hAnsi="Times New Roman" w:cs="Times New Roman"/>
          <w:sz w:val="24"/>
          <w:szCs w:val="24"/>
        </w:rPr>
      </w:pPr>
      <w:r w:rsidRPr="00BF35E3">
        <w:rPr>
          <w:rFonts w:ascii="Times New Roman" w:hAnsi="Times New Roman" w:cs="Times New Roman"/>
          <w:sz w:val="24"/>
          <w:szCs w:val="24"/>
        </w:rPr>
        <w:t xml:space="preserve">Ensuring access to asylum procedures and material reception conditions for persons who wish to apply for international protection remains a priority. This includes, inter alia, developing registration and examination procedures that are in line with the EU asylum acquis, as well as efficient referral mechanisms. The early identification of vulnerable applicants, </w:t>
      </w:r>
      <w:r w:rsidRPr="36BE81E9">
        <w:rPr>
          <w:rFonts w:ascii="Times New Roman" w:hAnsi="Times New Roman" w:cs="Times New Roman"/>
          <w:sz w:val="24"/>
          <w:szCs w:val="24"/>
        </w:rPr>
        <w:t>with special focus on unaccompanied children</w:t>
      </w:r>
      <w:r>
        <w:rPr>
          <w:rFonts w:ascii="Times New Roman" w:hAnsi="Times New Roman" w:cs="Times New Roman"/>
          <w:sz w:val="24"/>
          <w:szCs w:val="24"/>
        </w:rPr>
        <w:t xml:space="preserve"> (or accompanied by a caregiver), </w:t>
      </w:r>
      <w:r w:rsidRPr="00BF35E3">
        <w:rPr>
          <w:rFonts w:ascii="Times New Roman" w:hAnsi="Times New Roman" w:cs="Times New Roman"/>
          <w:sz w:val="24"/>
          <w:szCs w:val="24"/>
        </w:rPr>
        <w:t xml:space="preserve">and the implementation of responses to their special needs is a key priority. </w:t>
      </w:r>
      <w:r w:rsidRPr="005A43FB">
        <w:rPr>
          <w:rFonts w:ascii="Times New Roman" w:hAnsi="Times New Roman" w:cs="Times New Roman"/>
          <w:sz w:val="24"/>
          <w:szCs w:val="24"/>
        </w:rPr>
        <w:t>Special emphasis will be p</w:t>
      </w:r>
      <w:r>
        <w:rPr>
          <w:rFonts w:ascii="Times New Roman" w:hAnsi="Times New Roman" w:cs="Times New Roman"/>
          <w:sz w:val="24"/>
          <w:szCs w:val="24"/>
        </w:rPr>
        <w:t>aid to support further digitalis</w:t>
      </w:r>
      <w:r w:rsidRPr="005A43FB">
        <w:rPr>
          <w:rFonts w:ascii="Times New Roman" w:hAnsi="Times New Roman" w:cs="Times New Roman"/>
          <w:sz w:val="24"/>
          <w:szCs w:val="24"/>
        </w:rPr>
        <w:t xml:space="preserve">ation of procedures and </w:t>
      </w:r>
      <w:r>
        <w:rPr>
          <w:rFonts w:ascii="Times New Roman" w:hAnsi="Times New Roman" w:cs="Times New Roman"/>
          <w:sz w:val="24"/>
          <w:szCs w:val="24"/>
        </w:rPr>
        <w:t>to strengthen t</w:t>
      </w:r>
      <w:r w:rsidRPr="005A43FB">
        <w:rPr>
          <w:rFonts w:ascii="Times New Roman" w:hAnsi="Times New Roman" w:cs="Times New Roman"/>
          <w:sz w:val="24"/>
          <w:szCs w:val="24"/>
        </w:rPr>
        <w:t xml:space="preserve">he IT infrastructure of beneficiaries. </w:t>
      </w:r>
      <w:r w:rsidRPr="00BF35E3">
        <w:rPr>
          <w:rFonts w:ascii="Times New Roman" w:hAnsi="Times New Roman" w:cs="Times New Roman"/>
          <w:sz w:val="24"/>
          <w:szCs w:val="24"/>
        </w:rPr>
        <w:t>In addition, further harmonisation of standards for the reception including of applicants for international protection and vulnerable persons and development of effective, sustainable reception management remain a priority across W</w:t>
      </w:r>
      <w:r w:rsidR="00712308">
        <w:rPr>
          <w:rFonts w:ascii="Times New Roman" w:hAnsi="Times New Roman" w:cs="Times New Roman"/>
          <w:sz w:val="24"/>
          <w:szCs w:val="24"/>
        </w:rPr>
        <w:t xml:space="preserve">estern </w:t>
      </w:r>
      <w:r w:rsidRPr="00BF35E3">
        <w:rPr>
          <w:rFonts w:ascii="Times New Roman" w:hAnsi="Times New Roman" w:cs="Times New Roman"/>
          <w:sz w:val="24"/>
          <w:szCs w:val="24"/>
        </w:rPr>
        <w:t>B</w:t>
      </w:r>
      <w:r w:rsidR="00712308">
        <w:rPr>
          <w:rFonts w:ascii="Times New Roman" w:hAnsi="Times New Roman" w:cs="Times New Roman"/>
          <w:sz w:val="24"/>
          <w:szCs w:val="24"/>
        </w:rPr>
        <w:t>alkans</w:t>
      </w:r>
      <w:r w:rsidRPr="00BF35E3">
        <w:rPr>
          <w:rFonts w:ascii="Times New Roman" w:hAnsi="Times New Roman" w:cs="Times New Roman"/>
          <w:sz w:val="24"/>
          <w:szCs w:val="24"/>
        </w:rPr>
        <w:t>. </w:t>
      </w:r>
    </w:p>
    <w:p w14:paraId="66FCD8D4" w14:textId="5DAD8972" w:rsidR="00382DF6" w:rsidRPr="00BF35E3" w:rsidRDefault="00382DF6" w:rsidP="00382DF6">
      <w:pPr>
        <w:spacing w:after="120" w:line="240" w:lineRule="auto"/>
        <w:jc w:val="both"/>
        <w:rPr>
          <w:rFonts w:ascii="Times New Roman" w:hAnsi="Times New Roman" w:cs="Times New Roman"/>
          <w:sz w:val="24"/>
          <w:szCs w:val="24"/>
        </w:rPr>
      </w:pPr>
      <w:r w:rsidRPr="00BF35E3">
        <w:rPr>
          <w:rFonts w:ascii="Times New Roman" w:hAnsi="Times New Roman" w:cs="Times New Roman"/>
          <w:sz w:val="24"/>
          <w:szCs w:val="24"/>
        </w:rPr>
        <w:t xml:space="preserve">It is also important to develop integration strategies and programmes for beneficiaries of international protection; as well as information campaigns and other initiatives to address negative public attitudes towards migrants and refugees. IPA III will continue to support the establishment of protection-sensitive asylum systems that are compatible with the EU asylum </w:t>
      </w:r>
      <w:r w:rsidRPr="00BF35E3">
        <w:rPr>
          <w:rFonts w:ascii="Times New Roman" w:hAnsi="Times New Roman" w:cs="Times New Roman"/>
          <w:i/>
          <w:sz w:val="24"/>
          <w:szCs w:val="24"/>
        </w:rPr>
        <w:t>a</w:t>
      </w:r>
      <w:r w:rsidR="00712308" w:rsidRPr="00BF35E3">
        <w:rPr>
          <w:rFonts w:ascii="Times New Roman" w:hAnsi="Times New Roman" w:cs="Times New Roman"/>
          <w:i/>
          <w:sz w:val="24"/>
          <w:szCs w:val="24"/>
        </w:rPr>
        <w:t>c</w:t>
      </w:r>
      <w:r w:rsidRPr="00BF35E3">
        <w:rPr>
          <w:rFonts w:ascii="Times New Roman" w:hAnsi="Times New Roman" w:cs="Times New Roman"/>
          <w:i/>
          <w:sz w:val="24"/>
          <w:szCs w:val="24"/>
        </w:rPr>
        <w:t>quis</w:t>
      </w:r>
    </w:p>
    <w:p w14:paraId="1469B1D1" w14:textId="708E28A4"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the area of legal migration, the beneficiaries will be eligible to receive support to ensure alignment with the EU </w:t>
      </w:r>
      <w:r w:rsidRPr="009F6272">
        <w:rPr>
          <w:rFonts w:ascii="Times New Roman" w:hAnsi="Times New Roman" w:cs="Times New Roman"/>
          <w:i/>
          <w:sz w:val="24"/>
          <w:szCs w:val="24"/>
        </w:rPr>
        <w:t>acquis</w:t>
      </w:r>
      <w:r w:rsidRPr="36BE81E9">
        <w:rPr>
          <w:rFonts w:ascii="Times New Roman" w:hAnsi="Times New Roman" w:cs="Times New Roman"/>
          <w:sz w:val="24"/>
          <w:szCs w:val="24"/>
        </w:rPr>
        <w:t xml:space="preserve">, but also to implement temporary and circular migration for specific professions and designed to address labour market and demographic age disparities in the region and in the EU. </w:t>
      </w:r>
      <w:r w:rsidR="005A43FB" w:rsidRPr="005A43FB">
        <w:rPr>
          <w:rFonts w:ascii="Times New Roman" w:hAnsi="Times New Roman" w:cs="Times New Roman"/>
          <w:sz w:val="24"/>
          <w:szCs w:val="24"/>
        </w:rPr>
        <w:t>Mitigating measure</w:t>
      </w:r>
      <w:r w:rsidR="00262FCF">
        <w:rPr>
          <w:rFonts w:ascii="Times New Roman" w:hAnsi="Times New Roman" w:cs="Times New Roman"/>
          <w:sz w:val="24"/>
          <w:szCs w:val="24"/>
        </w:rPr>
        <w:t>s</w:t>
      </w:r>
      <w:r w:rsidR="005A43FB" w:rsidRPr="005A43FB">
        <w:rPr>
          <w:rFonts w:ascii="Times New Roman" w:hAnsi="Times New Roman" w:cs="Times New Roman"/>
          <w:sz w:val="24"/>
          <w:szCs w:val="24"/>
        </w:rPr>
        <w:t xml:space="preserve"> to manage the possible negative effects of emigration from IPA III benefiting countries</w:t>
      </w:r>
      <w:r w:rsidR="00262FCF" w:rsidRPr="00262FCF">
        <w:rPr>
          <w:rFonts w:ascii="Times New Roman" w:hAnsi="Times New Roman" w:cs="Times New Roman"/>
          <w:sz w:val="24"/>
          <w:szCs w:val="24"/>
        </w:rPr>
        <w:t xml:space="preserve"> </w:t>
      </w:r>
      <w:r w:rsidR="00262FCF" w:rsidRPr="005A43FB">
        <w:rPr>
          <w:rFonts w:ascii="Times New Roman" w:hAnsi="Times New Roman" w:cs="Times New Roman"/>
          <w:sz w:val="24"/>
          <w:szCs w:val="24"/>
        </w:rPr>
        <w:t>will be supported</w:t>
      </w:r>
      <w:r w:rsidR="005A43FB" w:rsidRPr="005A43FB">
        <w:rPr>
          <w:rFonts w:ascii="Times New Roman" w:hAnsi="Times New Roman" w:cs="Times New Roman"/>
          <w:sz w:val="24"/>
          <w:szCs w:val="24"/>
        </w:rPr>
        <w:t>, while also engaging diaspora from the region to support the socio-economic development of their home countries, thus contributing to the prevention of further emigration and preparing better conditions for the integration of recognized refugees and legal migration of third country nationals.</w:t>
      </w:r>
      <w:r w:rsidR="005A43FB">
        <w:rPr>
          <w:rFonts w:ascii="Times New Roman" w:hAnsi="Times New Roman" w:cs="Times New Roman"/>
          <w:sz w:val="24"/>
          <w:szCs w:val="24"/>
        </w:rPr>
        <w:t xml:space="preserve"> </w:t>
      </w:r>
      <w:r w:rsidRPr="36BE81E9">
        <w:rPr>
          <w:rFonts w:ascii="Times New Roman" w:hAnsi="Times New Roman" w:cs="Times New Roman"/>
          <w:sz w:val="24"/>
          <w:szCs w:val="24"/>
        </w:rPr>
        <w:t xml:space="preserve">Furthermore, progress towards EU integration should result in political stability and economic growth, which may lead to increased flows of migration for labour purposes within and to the region. This might place labour migration management issues higher on the agenda of migration priorities in the region. </w:t>
      </w:r>
    </w:p>
    <w:p w14:paraId="35D75912" w14:textId="220F4018"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Full alignment with the EU visa policy also needs further efforts. In addition, increased support may be directed to enhance the contributions of third country nationals and of citizens living in diaspora to the development of the beneficiaries.</w:t>
      </w:r>
    </w:p>
    <w:p w14:paraId="2180DF95"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5: Fundamental rights</w:t>
      </w:r>
    </w:p>
    <w:p w14:paraId="680E1B03"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Fundamental rights are largely enshrined in the legislation of the IPA III beneficiaries, while in some cases the legal framework still needs to be brought into line with the European Convention on Human Rights (ECHR) and European Court of Human Rights (ECtHR) case law. However, more needs to be done to ensure these rights are fully implemented in practice. The specific objective of IPA III will thus be to ensure the alignment of the legal framework with EU and international standards as well as to establish a solid track</w:t>
      </w:r>
      <w:r>
        <w:rPr>
          <w:rFonts w:ascii="Times New Roman" w:hAnsi="Times New Roman" w:cs="Times New Roman"/>
          <w:sz w:val="24"/>
          <w:szCs w:val="24"/>
        </w:rPr>
        <w:t>-</w:t>
      </w:r>
      <w:r w:rsidRPr="36BE81E9">
        <w:rPr>
          <w:rFonts w:ascii="Times New Roman" w:hAnsi="Times New Roman" w:cs="Times New Roman"/>
          <w:sz w:val="24"/>
          <w:szCs w:val="24"/>
        </w:rPr>
        <w:t xml:space="preserve">record in respecting fundamental rights. </w:t>
      </w:r>
    </w:p>
    <w:p w14:paraId="002F31AA" w14:textId="32EBD775"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support will prioritise the correct implementation of all the rights and freedoms set out in the European Convention on Human Rights, its protocols, its jurisprudence and enforcing the judgements of the European Court of Human Rights. Support will also be given to establish</w:t>
      </w:r>
      <w:r>
        <w:rPr>
          <w:rFonts w:ascii="Times New Roman" w:hAnsi="Times New Roman" w:cs="Times New Roman"/>
          <w:sz w:val="24"/>
          <w:szCs w:val="24"/>
        </w:rPr>
        <w:t>ment and effective and independent functioning of</w:t>
      </w:r>
      <w:r w:rsidRPr="36BE81E9">
        <w:rPr>
          <w:rFonts w:ascii="Times New Roman" w:hAnsi="Times New Roman" w:cs="Times New Roman"/>
          <w:sz w:val="24"/>
          <w:szCs w:val="24"/>
        </w:rPr>
        <w:t xml:space="preserve"> all the relevant structures for the promotion and protection of human rights, including the Ministries for Human Rights, National Human Rights Institutions and equality bodies</w:t>
      </w:r>
      <w:r w:rsidRPr="00256558">
        <w:rPr>
          <w:vertAlign w:val="superscript"/>
        </w:rPr>
        <w:footnoteReference w:id="17"/>
      </w:r>
      <w:r>
        <w:rPr>
          <w:rFonts w:ascii="Times New Roman" w:hAnsi="Times New Roman" w:cs="Times New Roman"/>
          <w:sz w:val="24"/>
          <w:szCs w:val="24"/>
        </w:rPr>
        <w:t xml:space="preserve"> </w:t>
      </w:r>
      <w:r w:rsidR="00956311">
        <w:rPr>
          <w:rFonts w:ascii="Times New Roman" w:hAnsi="Times New Roman" w:cs="Times New Roman"/>
          <w:sz w:val="24"/>
          <w:szCs w:val="24"/>
        </w:rPr>
        <w:t xml:space="preserve">and the Ombudsperson. This will allow </w:t>
      </w:r>
      <w:r w:rsidRPr="36BE81E9">
        <w:rPr>
          <w:rFonts w:ascii="Times New Roman" w:hAnsi="Times New Roman" w:cs="Times New Roman"/>
          <w:sz w:val="24"/>
          <w:szCs w:val="24"/>
        </w:rPr>
        <w:t xml:space="preserve">the concerned beneficiaries </w:t>
      </w:r>
      <w:r w:rsidR="00063227">
        <w:rPr>
          <w:rFonts w:ascii="Times New Roman" w:hAnsi="Times New Roman" w:cs="Times New Roman"/>
          <w:sz w:val="24"/>
          <w:szCs w:val="24"/>
        </w:rPr>
        <w:t>to be</w:t>
      </w:r>
      <w:r w:rsidRPr="36BE81E9">
        <w:rPr>
          <w:rFonts w:ascii="Times New Roman" w:hAnsi="Times New Roman" w:cs="Times New Roman"/>
          <w:sz w:val="24"/>
          <w:szCs w:val="24"/>
        </w:rPr>
        <w:t xml:space="preserve"> in a position to implement their human rights obligations and policy in an adequate manner. These actions are key to ensure that fundamental rights are effectively implemented, as this is not fully the case in practice yet.</w:t>
      </w:r>
      <w:r>
        <w:rPr>
          <w:rFonts w:ascii="Times New Roman" w:hAnsi="Times New Roman" w:cs="Times New Roman"/>
          <w:sz w:val="24"/>
          <w:szCs w:val="24"/>
        </w:rPr>
        <w:t xml:space="preserve"> </w:t>
      </w:r>
    </w:p>
    <w:p w14:paraId="2D90E5A1" w14:textId="3C31E2D1"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Ensuring gender equality and preventing discrimination and gender-based violence remain key priorities. IPA III will support the set-up of effective institutions and systems in order to ensure all women and girls in the region to be free from violence</w:t>
      </w:r>
      <w:r>
        <w:rPr>
          <w:rFonts w:ascii="Times New Roman" w:hAnsi="Times New Roman" w:cs="Times New Roman"/>
          <w:sz w:val="24"/>
          <w:szCs w:val="24"/>
        </w:rPr>
        <w:t xml:space="preserve"> and to </w:t>
      </w:r>
      <w:r w:rsidR="002540B0">
        <w:rPr>
          <w:rFonts w:ascii="Times New Roman" w:hAnsi="Times New Roman" w:cs="Times New Roman"/>
          <w:sz w:val="24"/>
          <w:szCs w:val="24"/>
        </w:rPr>
        <w:t xml:space="preserve">have </w:t>
      </w:r>
      <w:r>
        <w:rPr>
          <w:rFonts w:ascii="Times New Roman" w:hAnsi="Times New Roman" w:cs="Times New Roman"/>
          <w:sz w:val="24"/>
          <w:szCs w:val="24"/>
        </w:rPr>
        <w:t>equal rights throughout society</w:t>
      </w:r>
      <w:r w:rsidRPr="36BE81E9">
        <w:rPr>
          <w:rFonts w:ascii="Times New Roman" w:hAnsi="Times New Roman" w:cs="Times New Roman"/>
          <w:sz w:val="24"/>
          <w:szCs w:val="24"/>
        </w:rPr>
        <w:t>. IPA III support in the fight against gender-based violence will focus on assisting authorities to bridge the gaps between the legislation and its full and proper implementation in order to meet the standards set forth in the Istanbul Convention. Moreover, assistance will be provided to implement, where relevant, the recommendations of the Group of Experts on Action against Violence against Women and Domestic Violence and to combat gender stereotypes that prevent victims from accessing justice and contribute to the underreporting of offenses.</w:t>
      </w:r>
    </w:p>
    <w:p w14:paraId="2AC62509" w14:textId="23536C1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Discrimination against minorities, including women and girls belonging to minority groups, children, persons with disabilities and other vulnerable groups remains an important challenge in the region</w:t>
      </w:r>
      <w:r>
        <w:rPr>
          <w:rFonts w:ascii="Times New Roman" w:hAnsi="Times New Roman" w:cs="Times New Roman"/>
          <w:sz w:val="24"/>
          <w:szCs w:val="24"/>
        </w:rPr>
        <w:t xml:space="preserve"> that needs to be tackled</w:t>
      </w:r>
      <w:r w:rsidR="00AC4C01">
        <w:rPr>
          <w:rFonts w:ascii="Times New Roman" w:hAnsi="Times New Roman" w:cs="Times New Roman"/>
          <w:sz w:val="24"/>
          <w:szCs w:val="24"/>
        </w:rPr>
        <w:t>, pursuant to Article 21 of the Charter and Article 14 of the ECHR</w:t>
      </w:r>
      <w:r w:rsidRPr="36BE81E9">
        <w:rPr>
          <w:rFonts w:ascii="Times New Roman" w:hAnsi="Times New Roman" w:cs="Times New Roman"/>
          <w:sz w:val="24"/>
          <w:szCs w:val="24"/>
        </w:rPr>
        <w:t>.</w:t>
      </w:r>
    </w:p>
    <w:p w14:paraId="0E87A071" w14:textId="104A7884"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Promoting and protecting freedom of expression and the independence of media as a pillar of democracy remain</w:t>
      </w:r>
      <w:r>
        <w:rPr>
          <w:rFonts w:ascii="Times New Roman" w:hAnsi="Times New Roman" w:cs="Times New Roman"/>
          <w:sz w:val="24"/>
          <w:szCs w:val="24"/>
        </w:rPr>
        <w:t>s</w:t>
      </w:r>
      <w:r w:rsidRPr="36BE81E9">
        <w:rPr>
          <w:rFonts w:ascii="Times New Roman" w:hAnsi="Times New Roman" w:cs="Times New Roman"/>
          <w:sz w:val="24"/>
          <w:szCs w:val="24"/>
        </w:rPr>
        <w:t xml:space="preserve"> a priority. The media business environment is also characterised by political interference and ambiguous media ownership that undermine the sustainability of independent media.</w:t>
      </w:r>
      <w:r>
        <w:rPr>
          <w:rFonts w:ascii="Times New Roman" w:hAnsi="Times New Roman" w:cs="Times New Roman"/>
          <w:sz w:val="24"/>
          <w:szCs w:val="24"/>
        </w:rPr>
        <w:t xml:space="preserve"> </w:t>
      </w:r>
      <w:r w:rsidR="00A369D9">
        <w:rPr>
          <w:rFonts w:ascii="Times New Roman" w:hAnsi="Times New Roman" w:cs="Times New Roman"/>
          <w:sz w:val="24"/>
          <w:szCs w:val="24"/>
        </w:rPr>
        <w:t>The fight against disinformation is fundamental to maintain a democratic and open society.</w:t>
      </w:r>
    </w:p>
    <w:p w14:paraId="0422BE2F" w14:textId="52BC8183" w:rsidR="005739B7" w:rsidRPr="005742F9" w:rsidRDefault="005739B7" w:rsidP="006F7624">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Decisive efforts are needed to protect minorities and</w:t>
      </w:r>
      <w:r>
        <w:rPr>
          <w:rFonts w:ascii="Times New Roman" w:hAnsi="Times New Roman" w:cs="Times New Roman"/>
          <w:sz w:val="24"/>
          <w:szCs w:val="24"/>
        </w:rPr>
        <w:t xml:space="preserve">, in line with the EU equal treatment </w:t>
      </w:r>
      <w:r w:rsidRPr="00256558">
        <w:rPr>
          <w:rFonts w:ascii="Times New Roman" w:hAnsi="Times New Roman" w:cs="Times New Roman"/>
          <w:i/>
          <w:sz w:val="24"/>
          <w:szCs w:val="24"/>
        </w:rPr>
        <w:t>acquis</w:t>
      </w:r>
      <w:r>
        <w:rPr>
          <w:rFonts w:ascii="Times New Roman" w:hAnsi="Times New Roman" w:cs="Times New Roman"/>
          <w:sz w:val="24"/>
          <w:szCs w:val="24"/>
        </w:rPr>
        <w:t>,</w:t>
      </w:r>
      <w:r w:rsidRPr="36BE81E9">
        <w:rPr>
          <w:rFonts w:ascii="Times New Roman" w:hAnsi="Times New Roman" w:cs="Times New Roman"/>
          <w:sz w:val="24"/>
          <w:szCs w:val="24"/>
        </w:rPr>
        <w:t xml:space="preserve"> fight discrimination, including against persons of the Roma community, persons with disabilities and the Lesbian, Gay, Bisexual, Trans, Intersex (LGBTI). Further support will be provided to improve the rights of the child and support persons with disabilities, as well as to improve access to justice, the standards of post-penal care, the use of alternative sanctions, the conditions in prisons, the rights of prisoners and the enforcement and probation services. IPA III will contribute to enhance procedural rights of victims and suspects. Persons from Roma communities continue to face social exclusion, marginalisation and discrimination. Children rights are still abused and further steps </w:t>
      </w:r>
      <w:r>
        <w:rPr>
          <w:rFonts w:ascii="Times New Roman" w:hAnsi="Times New Roman" w:cs="Times New Roman"/>
          <w:sz w:val="24"/>
          <w:szCs w:val="24"/>
        </w:rPr>
        <w:t>(including adoption of specific strategies)</w:t>
      </w:r>
      <w:r w:rsidRPr="36BE81E9">
        <w:rPr>
          <w:rFonts w:ascii="Times New Roman" w:hAnsi="Times New Roman" w:cs="Times New Roman"/>
          <w:sz w:val="24"/>
          <w:szCs w:val="24"/>
        </w:rPr>
        <w:t xml:space="preserve"> are needed to protect children, including children with disabilities, </w:t>
      </w:r>
      <w:r w:rsidR="006F7624">
        <w:rPr>
          <w:rFonts w:ascii="Times New Roman" w:hAnsi="Times New Roman" w:cs="Times New Roman"/>
          <w:sz w:val="24"/>
          <w:szCs w:val="24"/>
        </w:rPr>
        <w:t xml:space="preserve">children in institutional care and children belonging to vulnerable groups </w:t>
      </w:r>
      <w:r w:rsidRPr="36BE81E9">
        <w:rPr>
          <w:rFonts w:ascii="Times New Roman" w:hAnsi="Times New Roman" w:cs="Times New Roman"/>
          <w:sz w:val="24"/>
          <w:szCs w:val="24"/>
        </w:rPr>
        <w:t>from violence, neglect and exploitation. Important efforts are also still needed to address in particular hate speech</w:t>
      </w:r>
      <w:r>
        <w:rPr>
          <w:rFonts w:ascii="Times New Roman" w:hAnsi="Times New Roman" w:cs="Times New Roman"/>
          <w:sz w:val="24"/>
          <w:szCs w:val="24"/>
        </w:rPr>
        <w:t xml:space="preserve"> (including hate speech online)</w:t>
      </w:r>
      <w:r w:rsidRPr="36BE81E9">
        <w:rPr>
          <w:rFonts w:ascii="Times New Roman" w:hAnsi="Times New Roman" w:cs="Times New Roman"/>
          <w:sz w:val="24"/>
          <w:szCs w:val="24"/>
        </w:rPr>
        <w:t xml:space="preserve"> and violence. </w:t>
      </w:r>
    </w:p>
    <w:p w14:paraId="43E6CE37"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Support will also be provided to ensure that data protection legislation is fully in line with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and is applied in a consistent manner both online and offline, including in law enforcement and crime prevention. The correct implementation of legislation on procedural rights in line with the 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will also be an area of focus under IPA III.</w:t>
      </w:r>
      <w:r>
        <w:rPr>
          <w:rFonts w:ascii="Times New Roman" w:hAnsi="Times New Roman" w:cs="Times New Roman"/>
          <w:sz w:val="24"/>
          <w:szCs w:val="24"/>
        </w:rPr>
        <w:t xml:space="preserve"> </w:t>
      </w:r>
    </w:p>
    <w:p w14:paraId="0881F637" w14:textId="77777777" w:rsidR="005739B7" w:rsidRPr="005742F9" w:rsidRDefault="005739B7" w:rsidP="005739B7">
      <w:pPr>
        <w:spacing w:after="120" w:line="240" w:lineRule="auto"/>
        <w:jc w:val="both"/>
        <w:rPr>
          <w:rFonts w:ascii="Times New Roman" w:hAnsi="Times New Roman" w:cs="Times New Roman"/>
          <w:sz w:val="24"/>
          <w:szCs w:val="24"/>
        </w:rPr>
      </w:pPr>
    </w:p>
    <w:p w14:paraId="7CCF5479"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6: Democracy</w:t>
      </w:r>
    </w:p>
    <w:p w14:paraId="38E8A483" w14:textId="3183CF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A functioning democracy is at the heart of the Copenhagen political criteria. However, in the enlargement region, a number of issues remain to be addressed, ranging from parliamentary boycotts to the conduct of elections. A lack of checks and balances and attempts on independent institutions put a further strain on basic democratic principles. Equal participation of women should be strengthened. The specific objectives of IPA III in this area will be to ensure democratic institutions are properly resourced and function in line with constitution, principles of effective government as well as recommend</w:t>
      </w:r>
      <w:r w:rsidR="001F4527">
        <w:rPr>
          <w:rFonts w:ascii="Times New Roman" w:hAnsi="Times New Roman" w:cs="Times New Roman"/>
          <w:sz w:val="24"/>
          <w:szCs w:val="24"/>
        </w:rPr>
        <w:t xml:space="preserve">ations of the Venice Commission. IPA III support in this area also aims at </w:t>
      </w:r>
      <w:r w:rsidRPr="36BE81E9">
        <w:rPr>
          <w:rFonts w:ascii="Times New Roman" w:hAnsi="Times New Roman" w:cs="Times New Roman"/>
          <w:sz w:val="24"/>
          <w:szCs w:val="24"/>
        </w:rPr>
        <w:t>guarantee</w:t>
      </w:r>
      <w:r w:rsidR="001F4527">
        <w:rPr>
          <w:rFonts w:ascii="Times New Roman" w:hAnsi="Times New Roman" w:cs="Times New Roman"/>
          <w:sz w:val="24"/>
          <w:szCs w:val="24"/>
        </w:rPr>
        <w:t>ing</w:t>
      </w:r>
      <w:r w:rsidRPr="36BE81E9">
        <w:rPr>
          <w:rFonts w:ascii="Times New Roman" w:hAnsi="Times New Roman" w:cs="Times New Roman"/>
          <w:sz w:val="24"/>
          <w:szCs w:val="24"/>
        </w:rPr>
        <w:t xml:space="preserve"> the effective scrutiny of legislation, the compliance of the electoral legislation with the international and European standards and that effective parliamentary procedures are in place. Democratic institutions must be inclusive of the plurality of groups in society and must promote the equal distribution of power</w:t>
      </w:r>
    </w:p>
    <w:p w14:paraId="4FFC077C"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This includes ensuring constructive dialogue across the political spectrum, notably within the parliaments. Governments need to ensure that the opposition has the possibility to fully perform its role. In addition, the opposition needs to engage constructively in the democratic process. </w:t>
      </w:r>
    </w:p>
    <w:p w14:paraId="12B80E58"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Support will focus on enhancing parliamentary accountability, oversight of the executive, and democratic scrutiny. </w:t>
      </w:r>
    </w:p>
    <w:p w14:paraId="3A0B07D5"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Electoral reform, at central and local level, is required in many of the beneficiaries in line with international standards and to meet the specific recommendations of bodies such as Office for Democratic Institutions and Human Rights (ODIHR) and the Venice Commission. Elections should be transparent, inclusive and credible, and IPA III will continue to assist in implementing the recommendations of election observation missions, related to long-standing weaknesses identified throughout the electoral observation cycles. Proper functioning of democratic institutions remains a key challenge in most of the beneficiaries. The central role of parliaments, and constructive cross-party dialogue also need to be embedded in the political culture.</w:t>
      </w:r>
      <w:r>
        <w:rPr>
          <w:rFonts w:ascii="Times New Roman" w:hAnsi="Times New Roman" w:cs="Times New Roman"/>
          <w:sz w:val="24"/>
          <w:szCs w:val="24"/>
        </w:rPr>
        <w:t xml:space="preserve"> </w:t>
      </w:r>
      <w:r w:rsidRPr="36BE81E9">
        <w:rPr>
          <w:rFonts w:ascii="Times New Roman" w:hAnsi="Times New Roman" w:cs="Times New Roman"/>
          <w:sz w:val="24"/>
          <w:szCs w:val="24"/>
        </w:rPr>
        <w:t>Parliamentary accountability, oversight of the executive and democratic scrutiny need to be enhanced. For this purpose, IPA III will also support reforms to the rules for the public and private financing of political parties, which need substantial revision.</w:t>
      </w:r>
    </w:p>
    <w:p w14:paraId="54384341"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7: Civil Society</w:t>
      </w:r>
    </w:p>
    <w:p w14:paraId="0D78FC64"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As an actor of change, civil society plays a vital role in shaping policies and partnerships, in overseeing their implementation, and in promoting a gender responsive rights-based approach. In the context of preparing for accession, Civil Society Organisations (CSOs) have two main functions that require support. First, as a democratic watchdog, CSOs and grass root organisations hold governments to account where fundamental rights, democratic principles and the rule of law are brought into question. Second, they contribute to the alignment with and implementation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by bringing innovative ideas to the table; by bridging the gap with real needs of citizens in the decision-making process and by monitoring implementation. </w:t>
      </w:r>
    </w:p>
    <w:p w14:paraId="757751C1"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Both these functions depend on a vibrant, sustainable, independent civil society with adequate resources to perform its tasks. The role of IPA III is to assist in developing such a sector and in helping ensure its long-term sustainability. </w:t>
      </w:r>
    </w:p>
    <w:p w14:paraId="7D88599D"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objectives of IPA III in this area will thus be to strengthen the enabling legal and policy environment and support the basic needs of CSOs, to increase CSOs’ role in decision and policy making in partnership with public authorities based on trust and mutual recognition and around common interests, to strengthen CSOs skills and capacities, as well as to increase public awareness on CSOs’ needs and role. Building capacity and strengthening the resources of CSOs is key to address the challenges affecting CSOs (such as restrictive laws limiting their operation, intimidation or harassment) and to allow them to perform their roles, including as independent watchdogs and governance actors. The genuine inclusion of CSOs in the policy-making process, which has a meaningful impact, remains to be ensured across the region and therefore attention needs to be paid both to how public authorities ensure a conducive environment for CSOs and to the capacities of CSOs themselves.</w:t>
      </w:r>
      <w:r>
        <w:rPr>
          <w:rFonts w:ascii="Times New Roman" w:hAnsi="Times New Roman" w:cs="Times New Roman"/>
          <w:sz w:val="24"/>
          <w:szCs w:val="24"/>
        </w:rPr>
        <w:t xml:space="preserve"> </w:t>
      </w:r>
    </w:p>
    <w:p w14:paraId="72E2C9A7"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support will aim at fostering an enabling environment in which civil society can actively participate in the reform and policy-making process, for example by establishing inclusive structured dialogues on reform priorities with the involvement of an empowered civil society. Strengthening the legal, institutional and financial environment under which CSOs operate is central for this purpose as a necessary condition for their participation, ownership and sustainability of the reform process. </w:t>
      </w:r>
    </w:p>
    <w:p w14:paraId="015F01FC" w14:textId="30BC30D5" w:rsidR="005739B7" w:rsidRDefault="005739B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40056B">
        <w:rPr>
          <w:rFonts w:ascii="Times New Roman" w:hAnsi="Times New Roman" w:cs="Times New Roman"/>
          <w:sz w:val="24"/>
          <w:szCs w:val="24"/>
        </w:rPr>
        <w:t xml:space="preserve">he partnership principle </w:t>
      </w:r>
      <w:r>
        <w:rPr>
          <w:rFonts w:ascii="Times New Roman" w:hAnsi="Times New Roman" w:cs="Times New Roman"/>
          <w:sz w:val="24"/>
          <w:szCs w:val="24"/>
        </w:rPr>
        <w:t>ensures that</w:t>
      </w:r>
      <w:r w:rsidRPr="0040056B">
        <w:rPr>
          <w:rFonts w:ascii="Times New Roman" w:hAnsi="Times New Roman" w:cs="Times New Roman"/>
          <w:sz w:val="24"/>
          <w:szCs w:val="24"/>
        </w:rPr>
        <w:t xml:space="preserve"> regional, local, and urban public authorities, trade unions, employers, NGOs, and other civil society bodies promoting issues such as social inclusion, gender equality, and non-discrimination are involved in all stages of the planning, implementation and monitoring of projects</w:t>
      </w:r>
      <w:r>
        <w:rPr>
          <w:rFonts w:ascii="Times New Roman" w:hAnsi="Times New Roman" w:cs="Times New Roman"/>
          <w:sz w:val="24"/>
          <w:szCs w:val="24"/>
        </w:rPr>
        <w:t>.</w:t>
      </w:r>
      <w:r w:rsidRPr="0040056B">
        <w:rPr>
          <w:rFonts w:ascii="Times New Roman" w:hAnsi="Times New Roman" w:cs="Times New Roman"/>
          <w:sz w:val="24"/>
          <w:szCs w:val="24"/>
        </w:rPr>
        <w:t xml:space="preserve"> </w:t>
      </w:r>
      <w:r w:rsidRPr="00C91DBA">
        <w:rPr>
          <w:rFonts w:ascii="Times New Roman" w:hAnsi="Times New Roman" w:cs="Times New Roman"/>
          <w:sz w:val="24"/>
          <w:szCs w:val="24"/>
        </w:rPr>
        <w:t xml:space="preserve">In order to make </w:t>
      </w:r>
      <w:r>
        <w:rPr>
          <w:rFonts w:ascii="Times New Roman" w:hAnsi="Times New Roman" w:cs="Times New Roman"/>
          <w:sz w:val="24"/>
          <w:szCs w:val="24"/>
        </w:rPr>
        <w:t>this principle more</w:t>
      </w:r>
      <w:r w:rsidRPr="00C91DBA">
        <w:rPr>
          <w:rFonts w:ascii="Times New Roman" w:hAnsi="Times New Roman" w:cs="Times New Roman"/>
          <w:sz w:val="24"/>
          <w:szCs w:val="24"/>
        </w:rPr>
        <w:t xml:space="preserve"> effective across all Member States, the Commission adopted the European Code of Conduct on Partners</w:t>
      </w:r>
      <w:r>
        <w:rPr>
          <w:rFonts w:ascii="Times New Roman" w:hAnsi="Times New Roman" w:cs="Times New Roman"/>
          <w:sz w:val="24"/>
          <w:szCs w:val="24"/>
        </w:rPr>
        <w:t>hip</w:t>
      </w:r>
      <w:r>
        <w:rPr>
          <w:rStyle w:val="DipnotBavurusu"/>
          <w:rFonts w:ascii="Times New Roman" w:hAnsi="Times New Roman" w:cs="Times New Roman"/>
          <w:sz w:val="24"/>
          <w:szCs w:val="24"/>
        </w:rPr>
        <w:footnoteReference w:id="18"/>
      </w:r>
      <w:r>
        <w:rPr>
          <w:rFonts w:ascii="Times New Roman" w:hAnsi="Times New Roman" w:cs="Times New Roman"/>
          <w:sz w:val="24"/>
          <w:szCs w:val="24"/>
        </w:rPr>
        <w:t xml:space="preserve"> in 2014, which should also be </w:t>
      </w:r>
      <w:r w:rsidRPr="00C91DBA">
        <w:rPr>
          <w:rFonts w:ascii="Times New Roman" w:hAnsi="Times New Roman" w:cs="Times New Roman"/>
          <w:sz w:val="24"/>
          <w:szCs w:val="24"/>
        </w:rPr>
        <w:t xml:space="preserve">followed for the </w:t>
      </w:r>
      <w:r>
        <w:rPr>
          <w:rFonts w:ascii="Times New Roman" w:hAnsi="Times New Roman" w:cs="Times New Roman"/>
          <w:sz w:val="24"/>
          <w:szCs w:val="24"/>
        </w:rPr>
        <w:t xml:space="preserve">IPA III </w:t>
      </w:r>
      <w:r w:rsidRPr="00C91DBA">
        <w:rPr>
          <w:rFonts w:ascii="Times New Roman" w:hAnsi="Times New Roman" w:cs="Times New Roman"/>
          <w:sz w:val="24"/>
          <w:szCs w:val="24"/>
        </w:rPr>
        <w:t>programming of the 2021-2027 period.</w:t>
      </w:r>
    </w:p>
    <w:p w14:paraId="34DBCCD5" w14:textId="77777777" w:rsidR="005739B7" w:rsidRDefault="005739B7" w:rsidP="005739B7">
      <w:pPr>
        <w:spacing w:after="120" w:line="240" w:lineRule="auto"/>
        <w:jc w:val="both"/>
        <w:rPr>
          <w:rFonts w:ascii="Times New Roman" w:hAnsi="Times New Roman" w:cs="Times New Roman"/>
          <w:sz w:val="24"/>
          <w:szCs w:val="24"/>
        </w:rPr>
      </w:pPr>
    </w:p>
    <w:p w14:paraId="6F4DC844" w14:textId="0FE1D984" w:rsidR="005739B7" w:rsidRPr="004018CB" w:rsidRDefault="005739B7" w:rsidP="005739B7">
      <w:pPr>
        <w:numPr>
          <w:ilvl w:val="0"/>
          <w:numId w:val="10"/>
        </w:numPr>
        <w:spacing w:after="120" w:line="240" w:lineRule="auto"/>
        <w:ind w:left="426" w:hanging="426"/>
        <w:rPr>
          <w:rFonts w:ascii="Times New Roman" w:hAnsi="Times New Roman" w:cs="Times New Roman"/>
          <w:b/>
          <w:bCs/>
        </w:rPr>
      </w:pPr>
      <w:r w:rsidRPr="36BE81E9">
        <w:rPr>
          <w:rFonts w:ascii="Times New Roman" w:hAnsi="Times New Roman" w:cs="Times New Roman"/>
          <w:b/>
          <w:bCs/>
        </w:rPr>
        <w:t>Indicators</w:t>
      </w:r>
      <w:r w:rsidR="00375FCB">
        <w:rPr>
          <w:rStyle w:val="DipnotBavurusu"/>
          <w:rFonts w:ascii="Times New Roman" w:hAnsi="Times New Roman" w:cs="Times New Roman"/>
          <w:b/>
          <w:bCs/>
        </w:rPr>
        <w:footnoteReference w:id="19"/>
      </w:r>
    </w:p>
    <w:p w14:paraId="1608C996" w14:textId="162CF26B" w:rsidR="005739B7" w:rsidRPr="00D55ACF" w:rsidRDefault="005739B7" w:rsidP="005739B7">
      <w:pPr>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 xml:space="preserve">Degree of readiness of candidate countries and potential candidates on political criteria (source: European Commission) KPI 1 of IPA III </w:t>
      </w:r>
      <w:r w:rsidR="00A401E7">
        <w:rPr>
          <w:rFonts w:ascii="Times New Roman" w:hAnsi="Times New Roman" w:cs="Times New Roman"/>
          <w:sz w:val="24"/>
          <w:szCs w:val="24"/>
        </w:rPr>
        <w:t>Regulation</w:t>
      </w:r>
      <w:r w:rsidR="003E5D98">
        <w:rPr>
          <w:rStyle w:val="DipnotBavurusu"/>
          <w:rFonts w:ascii="Times New Roman" w:hAnsi="Times New Roman" w:cs="Times New Roman"/>
          <w:sz w:val="24"/>
          <w:szCs w:val="24"/>
        </w:rPr>
        <w:footnoteReference w:id="20"/>
      </w:r>
    </w:p>
    <w:p w14:paraId="6A2A3883" w14:textId="75256C10" w:rsidR="005739B7" w:rsidRPr="005742F9"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DA6DC9">
        <w:rPr>
          <w:rFonts w:ascii="Times New Roman" w:hAnsi="Times New Roman" w:cs="Times New Roman"/>
          <w:sz w:val="24"/>
          <w:szCs w:val="24"/>
        </w:rPr>
        <w:t>8</w:t>
      </w:r>
      <w:r w:rsidRPr="36BE81E9">
        <w:rPr>
          <w:rFonts w:ascii="Times New Roman" w:hAnsi="Times New Roman" w:cs="Times New Roman"/>
          <w:sz w:val="24"/>
          <w:szCs w:val="24"/>
        </w:rPr>
        <w:t>): Western Balkans (</w:t>
      </w:r>
      <w:r w:rsidR="00DA6DC9">
        <w:rPr>
          <w:rFonts w:ascii="Times New Roman" w:hAnsi="Times New Roman" w:cs="Times New Roman"/>
          <w:sz w:val="24"/>
          <w:szCs w:val="24"/>
        </w:rPr>
        <w:t>2.1</w:t>
      </w:r>
      <w:r w:rsidRPr="36BE81E9">
        <w:rPr>
          <w:rFonts w:ascii="Times New Roman" w:hAnsi="Times New Roman" w:cs="Times New Roman"/>
          <w:sz w:val="24"/>
          <w:szCs w:val="24"/>
        </w:rPr>
        <w:t>) and Turkey (</w:t>
      </w:r>
      <w:r w:rsidR="00DA6DC9">
        <w:rPr>
          <w:rFonts w:ascii="Times New Roman" w:hAnsi="Times New Roman" w:cs="Times New Roman"/>
          <w:sz w:val="24"/>
          <w:szCs w:val="24"/>
        </w:rPr>
        <w:t>1.8</w:t>
      </w:r>
      <w:r w:rsidRPr="36BE81E9">
        <w:rPr>
          <w:rFonts w:ascii="Times New Roman" w:hAnsi="Times New Roman" w:cs="Times New Roman"/>
          <w:sz w:val="24"/>
          <w:szCs w:val="24"/>
        </w:rPr>
        <w:t>)</w:t>
      </w:r>
    </w:p>
    <w:p w14:paraId="70C6DC31" w14:textId="640A71B0" w:rsidR="005739B7" w:rsidRPr="005742F9"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 Turkey (</w:t>
      </w:r>
      <w:r w:rsidR="00DA6DC9">
        <w:rPr>
          <w:rFonts w:ascii="Times New Roman" w:hAnsi="Times New Roman" w:cs="Times New Roman"/>
          <w:sz w:val="24"/>
          <w:szCs w:val="24"/>
        </w:rPr>
        <w:t>Increase</w:t>
      </w:r>
      <w:r w:rsidRPr="36BE81E9">
        <w:rPr>
          <w:rFonts w:ascii="Times New Roman" w:hAnsi="Times New Roman" w:cs="Times New Roman"/>
          <w:sz w:val="24"/>
          <w:szCs w:val="24"/>
        </w:rPr>
        <w:t>)</w:t>
      </w:r>
    </w:p>
    <w:p w14:paraId="17FA4581" w14:textId="5C3529D1" w:rsidR="005739B7" w:rsidRPr="00537C28"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 Turkey (</w:t>
      </w:r>
      <w:r w:rsidR="00DA6DC9">
        <w:rPr>
          <w:rFonts w:ascii="Times New Roman" w:hAnsi="Times New Roman" w:cs="Times New Roman"/>
          <w:sz w:val="24"/>
          <w:szCs w:val="24"/>
        </w:rPr>
        <w:t>Increase</w:t>
      </w:r>
      <w:r w:rsidRPr="36BE81E9">
        <w:rPr>
          <w:rFonts w:ascii="Times New Roman" w:hAnsi="Times New Roman" w:cs="Times New Roman"/>
          <w:sz w:val="24"/>
          <w:szCs w:val="24"/>
        </w:rPr>
        <w:t>)</w:t>
      </w:r>
    </w:p>
    <w:p w14:paraId="4CCAD458" w14:textId="77777777" w:rsidR="005739B7" w:rsidRPr="006F3F22"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Thematic Priority 1: Judiciary</w:t>
      </w:r>
    </w:p>
    <w:p w14:paraId="1C4105B8" w14:textId="330E4074" w:rsidR="005739B7" w:rsidRDefault="005739B7" w:rsidP="005739B7">
      <w:pPr>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Functioning of judiciary (source: European Commission)</w:t>
      </w:r>
      <w:r w:rsidR="00D20CF3">
        <w:rPr>
          <w:rStyle w:val="DipnotBavurusu"/>
          <w:rFonts w:ascii="Times New Roman" w:hAnsi="Times New Roman" w:cs="Times New Roman"/>
          <w:sz w:val="24"/>
          <w:szCs w:val="24"/>
        </w:rPr>
        <w:footnoteReference w:id="21"/>
      </w:r>
    </w:p>
    <w:p w14:paraId="05851DD8" w14:textId="7E7B924C"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DA6DC9">
        <w:rPr>
          <w:rFonts w:ascii="Times New Roman" w:hAnsi="Times New Roman" w:cs="Times New Roman"/>
          <w:sz w:val="24"/>
          <w:szCs w:val="24"/>
        </w:rPr>
        <w:t>8</w:t>
      </w:r>
      <w:r w:rsidRPr="36BE81E9">
        <w:rPr>
          <w:rFonts w:ascii="Times New Roman" w:hAnsi="Times New Roman" w:cs="Times New Roman"/>
          <w:sz w:val="24"/>
          <w:szCs w:val="24"/>
        </w:rPr>
        <w:t>): Western Balkans (</w:t>
      </w:r>
      <w:r w:rsidR="00DA6DC9">
        <w:rPr>
          <w:rFonts w:ascii="Times New Roman" w:hAnsi="Times New Roman" w:cs="Times New Roman"/>
          <w:sz w:val="24"/>
          <w:szCs w:val="24"/>
        </w:rPr>
        <w:t>2</w:t>
      </w:r>
      <w:r w:rsidRPr="36BE81E9">
        <w:rPr>
          <w:rFonts w:ascii="Times New Roman" w:hAnsi="Times New Roman" w:cs="Times New Roman"/>
          <w:sz w:val="24"/>
          <w:szCs w:val="24"/>
        </w:rPr>
        <w:t>) and Turkey (</w:t>
      </w:r>
      <w:r w:rsidR="00DA6DC9">
        <w:rPr>
          <w:rFonts w:ascii="Times New Roman" w:hAnsi="Times New Roman" w:cs="Times New Roman"/>
          <w:sz w:val="24"/>
          <w:szCs w:val="24"/>
        </w:rPr>
        <w:t>1</w:t>
      </w:r>
      <w:r w:rsidRPr="36BE81E9">
        <w:rPr>
          <w:rFonts w:ascii="Times New Roman" w:hAnsi="Times New Roman" w:cs="Times New Roman"/>
          <w:sz w:val="24"/>
          <w:szCs w:val="24"/>
        </w:rPr>
        <w:t>)</w:t>
      </w:r>
    </w:p>
    <w:p w14:paraId="5ED68B35" w14:textId="0872C2EF"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 Turkey (</w:t>
      </w:r>
      <w:r w:rsidR="00DA6DC9">
        <w:rPr>
          <w:rFonts w:ascii="Times New Roman" w:hAnsi="Times New Roman" w:cs="Times New Roman"/>
          <w:sz w:val="24"/>
          <w:szCs w:val="24"/>
        </w:rPr>
        <w:t>Increase</w:t>
      </w:r>
      <w:r w:rsidRPr="36BE81E9">
        <w:rPr>
          <w:rFonts w:ascii="Times New Roman" w:hAnsi="Times New Roman" w:cs="Times New Roman"/>
          <w:sz w:val="24"/>
          <w:szCs w:val="24"/>
        </w:rPr>
        <w:t>)</w:t>
      </w:r>
    </w:p>
    <w:p w14:paraId="67A762BE" w14:textId="475450C7" w:rsidR="005739B7" w:rsidRDefault="005739B7" w:rsidP="005739B7">
      <w:pPr>
        <w:pStyle w:val="ListeParagraf"/>
        <w:spacing w:after="120" w:line="240" w:lineRule="auto"/>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DA6DC9">
        <w:rPr>
          <w:rFonts w:ascii="Times New Roman" w:hAnsi="Times New Roman" w:cs="Times New Roman"/>
          <w:sz w:val="24"/>
          <w:szCs w:val="24"/>
        </w:rPr>
        <w:t>Increase</w:t>
      </w:r>
      <w:r w:rsidRPr="36BE81E9">
        <w:rPr>
          <w:rFonts w:ascii="Times New Roman" w:eastAsia="Times New Roman" w:hAnsi="Times New Roman" w:cs="Times New Roman"/>
          <w:sz w:val="24"/>
          <w:szCs w:val="24"/>
        </w:rPr>
        <w:t>)</w:t>
      </w:r>
    </w:p>
    <w:p w14:paraId="324787BF" w14:textId="77777777" w:rsidR="005739B7"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Thematic Priority 2: Fight against corruption</w:t>
      </w:r>
    </w:p>
    <w:p w14:paraId="7D2F80C7" w14:textId="113444C4" w:rsidR="005739B7" w:rsidRDefault="005739B7" w:rsidP="005739B7">
      <w:pPr>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Fight against corruption (source: European Commission)</w:t>
      </w:r>
      <w:r w:rsidR="00D20CF3">
        <w:rPr>
          <w:rStyle w:val="DipnotBavurusu"/>
          <w:rFonts w:ascii="Times New Roman" w:hAnsi="Times New Roman" w:cs="Times New Roman"/>
          <w:sz w:val="24"/>
          <w:szCs w:val="24"/>
        </w:rPr>
        <w:footnoteReference w:id="22"/>
      </w:r>
    </w:p>
    <w:p w14:paraId="226C3CB1" w14:textId="2D7E7864"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DA6DC9">
        <w:rPr>
          <w:rFonts w:ascii="Times New Roman" w:hAnsi="Times New Roman" w:cs="Times New Roman"/>
          <w:sz w:val="24"/>
          <w:szCs w:val="24"/>
        </w:rPr>
        <w:t>8</w:t>
      </w:r>
      <w:r w:rsidRPr="36BE81E9">
        <w:rPr>
          <w:rFonts w:ascii="Times New Roman" w:hAnsi="Times New Roman" w:cs="Times New Roman"/>
          <w:sz w:val="24"/>
          <w:szCs w:val="24"/>
        </w:rPr>
        <w:t>): Western Balkans (</w:t>
      </w:r>
      <w:r w:rsidR="00DA6DC9">
        <w:rPr>
          <w:rFonts w:ascii="Times New Roman" w:hAnsi="Times New Roman" w:cs="Times New Roman"/>
          <w:sz w:val="24"/>
          <w:szCs w:val="24"/>
        </w:rPr>
        <w:t>1.9</w:t>
      </w:r>
      <w:r w:rsidRPr="36BE81E9">
        <w:rPr>
          <w:rFonts w:ascii="Times New Roman" w:hAnsi="Times New Roman" w:cs="Times New Roman"/>
          <w:sz w:val="24"/>
          <w:szCs w:val="24"/>
        </w:rPr>
        <w:t>) and Turkey (</w:t>
      </w:r>
      <w:r w:rsidR="00DA6DC9">
        <w:rPr>
          <w:rFonts w:ascii="Times New Roman" w:hAnsi="Times New Roman" w:cs="Times New Roman"/>
          <w:sz w:val="24"/>
          <w:szCs w:val="24"/>
        </w:rPr>
        <w:t>2</w:t>
      </w:r>
      <w:r w:rsidRPr="36BE81E9">
        <w:rPr>
          <w:rFonts w:ascii="Times New Roman" w:hAnsi="Times New Roman" w:cs="Times New Roman"/>
          <w:sz w:val="24"/>
          <w:szCs w:val="24"/>
        </w:rPr>
        <w:t>)</w:t>
      </w:r>
    </w:p>
    <w:p w14:paraId="2D612972" w14:textId="31DB9BB2"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 Turkey (</w:t>
      </w:r>
      <w:r w:rsidR="00DA6DC9">
        <w:rPr>
          <w:rFonts w:ascii="Times New Roman" w:hAnsi="Times New Roman" w:cs="Times New Roman"/>
          <w:sz w:val="24"/>
          <w:szCs w:val="24"/>
        </w:rPr>
        <w:t>Increase</w:t>
      </w:r>
      <w:r w:rsidRPr="36BE81E9">
        <w:rPr>
          <w:rFonts w:ascii="Times New Roman" w:hAnsi="Times New Roman" w:cs="Times New Roman"/>
          <w:sz w:val="24"/>
          <w:szCs w:val="24"/>
        </w:rPr>
        <w:t>)</w:t>
      </w:r>
    </w:p>
    <w:p w14:paraId="037FB769" w14:textId="3FB7A481" w:rsidR="005739B7" w:rsidRPr="00537C28"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w:t>
      </w:r>
      <w:r w:rsidRPr="00537C28">
        <w:rPr>
          <w:rFonts w:ascii="Times New Roman" w:hAnsi="Times New Roman" w:cs="Times New Roman"/>
          <w:sz w:val="24"/>
          <w:szCs w:val="24"/>
        </w:rPr>
        <w:t xml:space="preserve"> Turkey (</w:t>
      </w:r>
      <w:r w:rsidR="00DA6DC9">
        <w:rPr>
          <w:rFonts w:ascii="Times New Roman" w:hAnsi="Times New Roman" w:cs="Times New Roman"/>
          <w:sz w:val="24"/>
          <w:szCs w:val="24"/>
        </w:rPr>
        <w:t>Increase</w:t>
      </w:r>
      <w:r w:rsidRPr="00537C28">
        <w:rPr>
          <w:rFonts w:ascii="Times New Roman" w:hAnsi="Times New Roman" w:cs="Times New Roman"/>
          <w:sz w:val="24"/>
          <w:szCs w:val="24"/>
        </w:rPr>
        <w:t>)</w:t>
      </w:r>
    </w:p>
    <w:p w14:paraId="3E7FF101" w14:textId="77777777" w:rsidR="005739B7"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Thematic Priority 3: Fight against organised crime / Security</w:t>
      </w:r>
    </w:p>
    <w:p w14:paraId="4D4D8ACE" w14:textId="220E039E" w:rsidR="005739B7" w:rsidRDefault="005739B7" w:rsidP="005739B7">
      <w:pPr>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Fight against organised crime (source: European Commission)</w:t>
      </w:r>
      <w:r w:rsidR="00D20CF3">
        <w:rPr>
          <w:rStyle w:val="DipnotBavurusu"/>
          <w:rFonts w:ascii="Times New Roman" w:hAnsi="Times New Roman" w:cs="Times New Roman"/>
          <w:sz w:val="24"/>
          <w:szCs w:val="24"/>
        </w:rPr>
        <w:footnoteReference w:id="23"/>
      </w:r>
    </w:p>
    <w:p w14:paraId="32D2D9B4" w14:textId="56BD115C"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DA6DC9">
        <w:rPr>
          <w:rFonts w:ascii="Times New Roman" w:hAnsi="Times New Roman" w:cs="Times New Roman"/>
          <w:sz w:val="24"/>
          <w:szCs w:val="24"/>
        </w:rPr>
        <w:t>8</w:t>
      </w:r>
      <w:r w:rsidRPr="36BE81E9">
        <w:rPr>
          <w:rFonts w:ascii="Times New Roman" w:hAnsi="Times New Roman" w:cs="Times New Roman"/>
          <w:sz w:val="24"/>
          <w:szCs w:val="24"/>
        </w:rPr>
        <w:t>): Western Balkans (</w:t>
      </w:r>
      <w:r w:rsidR="00DA6DC9">
        <w:rPr>
          <w:rFonts w:ascii="Times New Roman" w:hAnsi="Times New Roman" w:cs="Times New Roman"/>
          <w:sz w:val="24"/>
          <w:szCs w:val="24"/>
        </w:rPr>
        <w:t>1.8</w:t>
      </w:r>
      <w:r w:rsidRPr="36BE81E9">
        <w:rPr>
          <w:rFonts w:ascii="Times New Roman" w:hAnsi="Times New Roman" w:cs="Times New Roman"/>
          <w:sz w:val="24"/>
          <w:szCs w:val="24"/>
        </w:rPr>
        <w:t>) and Turkey (</w:t>
      </w:r>
      <w:r w:rsidR="00DA6DC9">
        <w:rPr>
          <w:rFonts w:ascii="Times New Roman" w:hAnsi="Times New Roman" w:cs="Times New Roman"/>
          <w:sz w:val="24"/>
          <w:szCs w:val="24"/>
        </w:rPr>
        <w:t>2</w:t>
      </w:r>
      <w:r w:rsidRPr="36BE81E9">
        <w:rPr>
          <w:rFonts w:ascii="Times New Roman" w:hAnsi="Times New Roman" w:cs="Times New Roman"/>
          <w:sz w:val="24"/>
          <w:szCs w:val="24"/>
        </w:rPr>
        <w:t>)</w:t>
      </w:r>
    </w:p>
    <w:p w14:paraId="5DF69233" w14:textId="4A20078B"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 Turkey (</w:t>
      </w:r>
      <w:r w:rsidR="00DA6DC9">
        <w:rPr>
          <w:rFonts w:ascii="Times New Roman" w:hAnsi="Times New Roman" w:cs="Times New Roman"/>
          <w:sz w:val="24"/>
          <w:szCs w:val="24"/>
        </w:rPr>
        <w:t>Increase</w:t>
      </w:r>
      <w:r w:rsidRPr="36BE81E9">
        <w:rPr>
          <w:rFonts w:ascii="Times New Roman" w:hAnsi="Times New Roman" w:cs="Times New Roman"/>
          <w:sz w:val="24"/>
          <w:szCs w:val="24"/>
        </w:rPr>
        <w:t>)</w:t>
      </w:r>
    </w:p>
    <w:p w14:paraId="57539720" w14:textId="05B9FE18" w:rsidR="005739B7" w:rsidRDefault="005739B7" w:rsidP="005739B7">
      <w:pPr>
        <w:pStyle w:val="ListeParagraf"/>
        <w:spacing w:after="120" w:line="240" w:lineRule="auto"/>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DA6DC9">
        <w:rPr>
          <w:rFonts w:ascii="Times New Roman" w:hAnsi="Times New Roman" w:cs="Times New Roman"/>
          <w:sz w:val="24"/>
          <w:szCs w:val="24"/>
        </w:rPr>
        <w:t>Increase</w:t>
      </w:r>
      <w:r w:rsidRPr="36BE81E9">
        <w:rPr>
          <w:rFonts w:ascii="Times New Roman" w:eastAsia="Times New Roman" w:hAnsi="Times New Roman" w:cs="Times New Roman"/>
          <w:sz w:val="24"/>
          <w:szCs w:val="24"/>
        </w:rPr>
        <w:t>)</w:t>
      </w:r>
    </w:p>
    <w:p w14:paraId="02698125" w14:textId="77777777" w:rsidR="005739B7" w:rsidRPr="005742F9" w:rsidRDefault="005739B7" w:rsidP="005739B7">
      <w:pPr>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Political Stability and Absence of Violence/Terrorism (source: World Bank Worldwide Governance indicators)</w:t>
      </w:r>
      <w:r>
        <w:rPr>
          <w:rFonts w:ascii="Times New Roman" w:hAnsi="Times New Roman" w:cs="Times New Roman"/>
          <w:sz w:val="24"/>
          <w:szCs w:val="24"/>
        </w:rPr>
        <w:t xml:space="preserve"> </w:t>
      </w:r>
    </w:p>
    <w:p w14:paraId="248C0D62" w14:textId="53856C37" w:rsidR="005739B7" w:rsidRPr="005742F9"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(20</w:t>
      </w:r>
      <w:r w:rsidR="00DA6DC9">
        <w:rPr>
          <w:rFonts w:ascii="Times New Roman" w:hAnsi="Times New Roman" w:cs="Times New Roman"/>
          <w:sz w:val="24"/>
          <w:szCs w:val="24"/>
        </w:rPr>
        <w:t>19</w:t>
      </w:r>
      <w:r w:rsidRPr="36BE81E9">
        <w:rPr>
          <w:rFonts w:ascii="Times New Roman" w:hAnsi="Times New Roman" w:cs="Times New Roman"/>
          <w:sz w:val="24"/>
          <w:szCs w:val="24"/>
        </w:rPr>
        <w:t xml:space="preserve">): Western Balkans  </w:t>
      </w:r>
      <w:r w:rsidR="00C57EA6">
        <w:rPr>
          <w:rFonts w:ascii="Times New Roman" w:hAnsi="Times New Roman" w:cs="Times New Roman"/>
          <w:sz w:val="24"/>
          <w:szCs w:val="24"/>
        </w:rPr>
        <w:t>(</w:t>
      </w:r>
      <w:r w:rsidR="00DA6DC9">
        <w:rPr>
          <w:rFonts w:ascii="Times New Roman" w:hAnsi="Times New Roman" w:cs="Times New Roman"/>
          <w:sz w:val="24"/>
          <w:szCs w:val="24"/>
        </w:rPr>
        <w:t>42.3</w:t>
      </w:r>
      <w:r w:rsidR="00C57EA6">
        <w:rPr>
          <w:rFonts w:ascii="Times New Roman" w:hAnsi="Times New Roman" w:cs="Times New Roman"/>
          <w:sz w:val="24"/>
          <w:szCs w:val="24"/>
        </w:rPr>
        <w:t xml:space="preserve">) and </w:t>
      </w:r>
      <w:r w:rsidRPr="36BE81E9">
        <w:rPr>
          <w:rFonts w:ascii="Times New Roman" w:hAnsi="Times New Roman" w:cs="Times New Roman"/>
          <w:sz w:val="24"/>
          <w:szCs w:val="24"/>
        </w:rPr>
        <w:t>Turkey (</w:t>
      </w:r>
      <w:r w:rsidR="00DA6DC9">
        <w:rPr>
          <w:rFonts w:ascii="Times New Roman" w:hAnsi="Times New Roman" w:cs="Times New Roman"/>
          <w:sz w:val="24"/>
          <w:szCs w:val="24"/>
        </w:rPr>
        <w:t>10</w:t>
      </w:r>
      <w:r w:rsidRPr="36BE81E9">
        <w:rPr>
          <w:rFonts w:ascii="Times New Roman" w:hAnsi="Times New Roman" w:cs="Times New Roman"/>
          <w:sz w:val="24"/>
          <w:szCs w:val="24"/>
        </w:rPr>
        <w:t>)</w:t>
      </w:r>
    </w:p>
    <w:p w14:paraId="2BEA3123" w14:textId="18BA15A4"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A6DC9">
        <w:rPr>
          <w:rFonts w:ascii="Times New Roman" w:hAnsi="Times New Roman" w:cs="Times New Roman"/>
          <w:sz w:val="24"/>
          <w:szCs w:val="24"/>
        </w:rPr>
        <w:t>43</w:t>
      </w:r>
      <w:r w:rsidRPr="36BE81E9">
        <w:rPr>
          <w:rFonts w:ascii="Times New Roman" w:hAnsi="Times New Roman" w:cs="Times New Roman"/>
          <w:sz w:val="24"/>
          <w:szCs w:val="24"/>
        </w:rPr>
        <w:t>) and Turkey (</w:t>
      </w:r>
      <w:r w:rsidR="00DA6DC9">
        <w:rPr>
          <w:rFonts w:ascii="Times New Roman" w:hAnsi="Times New Roman" w:cs="Times New Roman"/>
          <w:sz w:val="24"/>
          <w:szCs w:val="24"/>
        </w:rPr>
        <w:t>10</w:t>
      </w:r>
      <w:r w:rsidRPr="36BE81E9">
        <w:rPr>
          <w:rFonts w:ascii="Times New Roman" w:hAnsi="Times New Roman" w:cs="Times New Roman"/>
          <w:sz w:val="24"/>
          <w:szCs w:val="24"/>
        </w:rPr>
        <w:t>)</w:t>
      </w:r>
    </w:p>
    <w:p w14:paraId="526BCF99" w14:textId="1FBC915D" w:rsidR="005739B7" w:rsidRPr="00537C28"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DA6DC9">
        <w:rPr>
          <w:rFonts w:ascii="Times New Roman" w:hAnsi="Times New Roman" w:cs="Times New Roman"/>
          <w:sz w:val="24"/>
          <w:szCs w:val="24"/>
        </w:rPr>
        <w:t>46</w:t>
      </w:r>
      <w:r w:rsidRPr="36BE81E9">
        <w:rPr>
          <w:rFonts w:ascii="Times New Roman" w:hAnsi="Times New Roman" w:cs="Times New Roman"/>
          <w:sz w:val="24"/>
          <w:szCs w:val="24"/>
        </w:rPr>
        <w:t>) and</w:t>
      </w:r>
      <w:r w:rsidRPr="00537C28">
        <w:rPr>
          <w:rFonts w:ascii="Times New Roman" w:hAnsi="Times New Roman" w:cs="Times New Roman"/>
          <w:sz w:val="24"/>
          <w:szCs w:val="24"/>
        </w:rPr>
        <w:t xml:space="preserve"> Turkey (</w:t>
      </w:r>
      <w:r w:rsidR="00DA6DC9">
        <w:rPr>
          <w:rFonts w:ascii="Times New Roman" w:hAnsi="Times New Roman" w:cs="Times New Roman"/>
          <w:sz w:val="24"/>
          <w:szCs w:val="24"/>
        </w:rPr>
        <w:t>12</w:t>
      </w:r>
      <w:r w:rsidRPr="00537C28">
        <w:rPr>
          <w:rFonts w:ascii="Times New Roman" w:hAnsi="Times New Roman" w:cs="Times New Roman"/>
          <w:sz w:val="24"/>
          <w:szCs w:val="24"/>
        </w:rPr>
        <w:t>)</w:t>
      </w:r>
    </w:p>
    <w:p w14:paraId="0D081027" w14:textId="77777777" w:rsidR="005739B7" w:rsidRDefault="005739B7" w:rsidP="00472513">
      <w:pPr>
        <w:keepNext/>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 xml:space="preserve"> Thematic Priority 4: Migration and Border Management</w:t>
      </w:r>
    </w:p>
    <w:p w14:paraId="09606D68" w14:textId="77777777" w:rsidR="005739B7" w:rsidRPr="004018CB" w:rsidRDefault="005739B7" w:rsidP="00472513">
      <w:pPr>
        <w:keepNext/>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 xml:space="preserve">Number of refugees, asylum-seekers and other persons of concern to the UNHCR by situation </w:t>
      </w:r>
      <w:r w:rsidRPr="004018CB">
        <w:rPr>
          <w:rFonts w:ascii="Times New Roman" w:hAnsi="Times New Roman" w:cs="Times New Roman"/>
          <w:sz w:val="24"/>
          <w:szCs w:val="24"/>
        </w:rPr>
        <w:t>(source: UNHCR)</w:t>
      </w:r>
    </w:p>
    <w:p w14:paraId="5351DBF6" w14:textId="65A7ECC2"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w:t>
      </w:r>
      <w:r w:rsidR="000C64C7" w:rsidRPr="36BE81E9">
        <w:rPr>
          <w:rFonts w:ascii="Times New Roman" w:hAnsi="Times New Roman" w:cs="Times New Roman"/>
          <w:sz w:val="24"/>
          <w:szCs w:val="24"/>
        </w:rPr>
        <w:t>20</w:t>
      </w:r>
      <w:r w:rsidR="000C64C7">
        <w:rPr>
          <w:rFonts w:ascii="Times New Roman" w:hAnsi="Times New Roman" w:cs="Times New Roman"/>
          <w:sz w:val="24"/>
          <w:szCs w:val="24"/>
        </w:rPr>
        <w:t>20</w:t>
      </w:r>
      <w:r w:rsidRPr="36BE81E9">
        <w:rPr>
          <w:rFonts w:ascii="Times New Roman" w:hAnsi="Times New Roman" w:cs="Times New Roman"/>
          <w:sz w:val="24"/>
          <w:szCs w:val="24"/>
        </w:rPr>
        <w:t>): Western Balkans (</w:t>
      </w:r>
      <w:r w:rsidR="000C64C7">
        <w:rPr>
          <w:rFonts w:ascii="Times New Roman" w:hAnsi="Times New Roman" w:cs="Times New Roman"/>
          <w:sz w:val="24"/>
          <w:szCs w:val="24"/>
        </w:rPr>
        <w:t>89 300</w:t>
      </w:r>
      <w:r w:rsidRPr="36BE81E9">
        <w:rPr>
          <w:rFonts w:ascii="Times New Roman" w:hAnsi="Times New Roman" w:cs="Times New Roman"/>
          <w:sz w:val="24"/>
          <w:szCs w:val="24"/>
        </w:rPr>
        <w:t>) and Turkey (</w:t>
      </w:r>
      <w:r w:rsidR="000C64C7">
        <w:rPr>
          <w:rFonts w:ascii="Times New Roman" w:hAnsi="Times New Roman" w:cs="Times New Roman"/>
          <w:sz w:val="24"/>
          <w:szCs w:val="24"/>
        </w:rPr>
        <w:t>122 300</w:t>
      </w:r>
      <w:r w:rsidRPr="36BE81E9">
        <w:rPr>
          <w:rFonts w:ascii="Times New Roman" w:hAnsi="Times New Roman" w:cs="Times New Roman"/>
          <w:sz w:val="24"/>
          <w:szCs w:val="24"/>
        </w:rPr>
        <w:t>)</w:t>
      </w:r>
    </w:p>
    <w:p w14:paraId="06705A84" w14:textId="14C86B0D"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0C64C7">
        <w:rPr>
          <w:rFonts w:ascii="Times New Roman" w:hAnsi="Times New Roman" w:cs="Times New Roman"/>
          <w:sz w:val="24"/>
          <w:szCs w:val="24"/>
        </w:rPr>
        <w:t>Increase</w:t>
      </w:r>
      <w:r w:rsidRPr="36BE81E9">
        <w:rPr>
          <w:rFonts w:ascii="Times New Roman" w:hAnsi="Times New Roman" w:cs="Times New Roman"/>
          <w:sz w:val="24"/>
          <w:szCs w:val="24"/>
        </w:rPr>
        <w:t>) and Turkey (</w:t>
      </w:r>
      <w:r w:rsidR="000C64C7">
        <w:rPr>
          <w:rFonts w:ascii="Times New Roman" w:hAnsi="Times New Roman" w:cs="Times New Roman"/>
          <w:sz w:val="24"/>
          <w:szCs w:val="24"/>
        </w:rPr>
        <w:t>Increase</w:t>
      </w:r>
      <w:r w:rsidRPr="36BE81E9">
        <w:rPr>
          <w:rFonts w:ascii="Times New Roman" w:hAnsi="Times New Roman" w:cs="Times New Roman"/>
          <w:sz w:val="24"/>
          <w:szCs w:val="24"/>
        </w:rPr>
        <w:t>)</w:t>
      </w:r>
    </w:p>
    <w:p w14:paraId="1F4D2DE1" w14:textId="3BCCEB86" w:rsidR="005739B7" w:rsidRDefault="005739B7" w:rsidP="005739B7">
      <w:pPr>
        <w:pStyle w:val="ListeParagraf"/>
        <w:spacing w:after="120" w:line="240" w:lineRule="auto"/>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0C64C7">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0C64C7">
        <w:rPr>
          <w:rFonts w:ascii="Times New Roman" w:eastAsia="Times New Roman" w:hAnsi="Times New Roman" w:cs="Times New Roman"/>
          <w:sz w:val="24"/>
          <w:szCs w:val="24"/>
        </w:rPr>
        <w:t>Increase</w:t>
      </w:r>
      <w:r w:rsidRPr="36BE81E9">
        <w:rPr>
          <w:rFonts w:ascii="Times New Roman" w:eastAsia="Times New Roman" w:hAnsi="Times New Roman" w:cs="Times New Roman"/>
          <w:sz w:val="24"/>
          <w:szCs w:val="24"/>
        </w:rPr>
        <w:t>)</w:t>
      </w:r>
    </w:p>
    <w:p w14:paraId="6EE5E5DB" w14:textId="77777777" w:rsidR="005739B7"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 xml:space="preserve"> Thematic Priority 5: Fundamental Rights</w:t>
      </w:r>
    </w:p>
    <w:p w14:paraId="04AFE997" w14:textId="738C2FD7" w:rsidR="005739B7" w:rsidRDefault="005739B7" w:rsidP="005739B7">
      <w:pPr>
        <w:numPr>
          <w:ilvl w:val="0"/>
          <w:numId w:val="1"/>
        </w:numPr>
        <w:spacing w:before="240" w:after="12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Freedom of expression (source: European Commission)</w:t>
      </w:r>
      <w:r w:rsidR="00D20CF3">
        <w:rPr>
          <w:rStyle w:val="DipnotBavurusu"/>
          <w:rFonts w:ascii="Times New Roman" w:hAnsi="Times New Roman" w:cs="Times New Roman"/>
          <w:sz w:val="24"/>
          <w:szCs w:val="24"/>
        </w:rPr>
        <w:footnoteReference w:id="24"/>
      </w:r>
    </w:p>
    <w:p w14:paraId="6BA0F00A" w14:textId="3C162939"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Baseline (2017): Western Balkans (</w:t>
      </w:r>
      <w:r w:rsidR="00DA6DC9">
        <w:rPr>
          <w:rFonts w:ascii="Times New Roman" w:hAnsi="Times New Roman" w:cs="Times New Roman"/>
          <w:sz w:val="24"/>
          <w:szCs w:val="24"/>
        </w:rPr>
        <w:t>2.1</w:t>
      </w:r>
      <w:r w:rsidRPr="36BE81E9">
        <w:rPr>
          <w:rFonts w:ascii="Times New Roman" w:hAnsi="Times New Roman" w:cs="Times New Roman"/>
          <w:sz w:val="24"/>
          <w:szCs w:val="24"/>
        </w:rPr>
        <w:t>) and Turkey (</w:t>
      </w:r>
      <w:r w:rsidR="00DA6DC9">
        <w:rPr>
          <w:rFonts w:ascii="Times New Roman" w:hAnsi="Times New Roman" w:cs="Times New Roman"/>
          <w:sz w:val="24"/>
          <w:szCs w:val="24"/>
        </w:rPr>
        <w:t>1</w:t>
      </w:r>
      <w:r w:rsidRPr="36BE81E9">
        <w:rPr>
          <w:rFonts w:ascii="Times New Roman" w:hAnsi="Times New Roman" w:cs="Times New Roman"/>
          <w:sz w:val="24"/>
          <w:szCs w:val="24"/>
        </w:rPr>
        <w:t>)</w:t>
      </w:r>
    </w:p>
    <w:p w14:paraId="18259397" w14:textId="3FF16B74" w:rsidR="005739B7" w:rsidRPr="006F3F22"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 Turkey (</w:t>
      </w:r>
      <w:r w:rsidR="00DA6DC9">
        <w:rPr>
          <w:rFonts w:ascii="Times New Roman" w:hAnsi="Times New Roman" w:cs="Times New Roman"/>
          <w:sz w:val="24"/>
          <w:szCs w:val="24"/>
        </w:rPr>
        <w:t>Increase</w:t>
      </w:r>
      <w:r w:rsidRPr="36BE81E9">
        <w:rPr>
          <w:rFonts w:ascii="Times New Roman" w:hAnsi="Times New Roman" w:cs="Times New Roman"/>
          <w:sz w:val="24"/>
          <w:szCs w:val="24"/>
        </w:rPr>
        <w:t>)</w:t>
      </w:r>
    </w:p>
    <w:p w14:paraId="749BC751" w14:textId="3722C4DE" w:rsidR="005739B7" w:rsidRDefault="005739B7" w:rsidP="005739B7">
      <w:pPr>
        <w:pStyle w:val="ListeParagraf"/>
        <w:spacing w:after="120" w:line="240" w:lineRule="auto"/>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DA6DC9">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DA6DC9">
        <w:rPr>
          <w:rFonts w:ascii="Times New Roman" w:hAnsi="Times New Roman" w:cs="Times New Roman"/>
          <w:sz w:val="24"/>
          <w:szCs w:val="24"/>
        </w:rPr>
        <w:t>Increase</w:t>
      </w:r>
      <w:r w:rsidRPr="36BE81E9">
        <w:rPr>
          <w:rFonts w:ascii="Times New Roman" w:eastAsia="Times New Roman" w:hAnsi="Times New Roman" w:cs="Times New Roman"/>
          <w:sz w:val="24"/>
          <w:szCs w:val="24"/>
        </w:rPr>
        <w:t>)</w:t>
      </w:r>
    </w:p>
    <w:p w14:paraId="36D59245" w14:textId="77777777" w:rsidR="005739B7" w:rsidRDefault="005739B7" w:rsidP="005739B7">
      <w:pPr>
        <w:pStyle w:val="ListeParagraf"/>
        <w:spacing w:after="120" w:line="240" w:lineRule="auto"/>
        <w:jc w:val="both"/>
        <w:rPr>
          <w:rFonts w:ascii="Times New Roman" w:hAnsi="Times New Roman" w:cs="Times New Roman"/>
          <w:sz w:val="24"/>
          <w:szCs w:val="24"/>
        </w:rPr>
      </w:pPr>
    </w:p>
    <w:p w14:paraId="3A592C72" w14:textId="77777777" w:rsidR="005739B7" w:rsidRPr="005742F9" w:rsidRDefault="005739B7" w:rsidP="005739B7">
      <w:pPr>
        <w:numPr>
          <w:ilvl w:val="0"/>
          <w:numId w:val="10"/>
        </w:numPr>
        <w:spacing w:after="120" w:line="240" w:lineRule="auto"/>
        <w:ind w:left="426" w:hanging="426"/>
        <w:rPr>
          <w:rFonts w:ascii="Times New Roman" w:hAnsi="Times New Roman" w:cs="Times New Roman"/>
          <w:b/>
          <w:bCs/>
        </w:rPr>
      </w:pPr>
      <w:r w:rsidRPr="36BE81E9">
        <w:rPr>
          <w:rFonts w:ascii="Times New Roman" w:hAnsi="Times New Roman" w:cs="Times New Roman"/>
          <w:b/>
          <w:bCs/>
        </w:rPr>
        <w:t xml:space="preserve">Assumptions &amp; Risks </w:t>
      </w:r>
    </w:p>
    <w:p w14:paraId="0A0AE0EB"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Window 1, by its nature, touches upon many issues which have a very strong political and societal dimension, often far in excess of the legal or technical dimension.</w:t>
      </w:r>
      <w:r>
        <w:rPr>
          <w:rFonts w:ascii="Times New Roman" w:hAnsi="Times New Roman" w:cs="Times New Roman"/>
          <w:sz w:val="24"/>
          <w:szCs w:val="24"/>
        </w:rPr>
        <w:t xml:space="preserve"> </w:t>
      </w:r>
      <w:r w:rsidRPr="36BE81E9">
        <w:rPr>
          <w:rFonts w:ascii="Times New Roman" w:hAnsi="Times New Roman" w:cs="Times New Roman"/>
          <w:sz w:val="24"/>
          <w:szCs w:val="24"/>
        </w:rPr>
        <w:t>For this reason, the overarching assumptions and risks will be the determining factor for the achievement of the strategic objectives and thematic priorities.</w:t>
      </w:r>
    </w:p>
    <w:p w14:paraId="5E634021" w14:textId="77777777" w:rsidR="005739B7" w:rsidRPr="00C03C2F" w:rsidRDefault="005739B7" w:rsidP="005739B7">
      <w:pPr>
        <w:spacing w:after="120" w:line="240" w:lineRule="auto"/>
        <w:jc w:val="both"/>
        <w:rPr>
          <w:rFonts w:ascii="Times New Roman" w:hAnsi="Times New Roman" w:cs="Times New Roman"/>
          <w:i/>
          <w:iCs/>
          <w:sz w:val="24"/>
          <w:szCs w:val="24"/>
          <w:u w:val="single"/>
        </w:rPr>
      </w:pPr>
      <w:r w:rsidRPr="36BE81E9">
        <w:rPr>
          <w:rFonts w:ascii="Times New Roman" w:hAnsi="Times New Roman" w:cs="Times New Roman"/>
          <w:i/>
          <w:iCs/>
          <w:sz w:val="24"/>
          <w:szCs w:val="24"/>
          <w:u w:val="single"/>
        </w:rPr>
        <w:t>Assumptions</w:t>
      </w:r>
    </w:p>
    <w:p w14:paraId="20A02B00"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There is a continuous commitment, steered and coordinated at the highest level of the government, the executive as well as at the legislative and judiciary to address the key priorities under this Window.</w:t>
      </w:r>
      <w:r>
        <w:rPr>
          <w:rFonts w:ascii="Times New Roman" w:eastAsia="Calibri" w:hAnsi="Times New Roman" w:cs="Times New Roman"/>
          <w:sz w:val="24"/>
          <w:szCs w:val="24"/>
        </w:rPr>
        <w:t xml:space="preserve"> </w:t>
      </w:r>
    </w:p>
    <w:p w14:paraId="3B9E5FE3"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IPA III beneficiaries are committed to upgrading their national strategies and sectoral approaches in line with</w:t>
      </w:r>
      <w:r w:rsidRPr="008D0FA7">
        <w:rPr>
          <w:rFonts w:ascii="Times New Roman" w:eastAsia="Calibri" w:hAnsi="Times New Roman" w:cs="Times New Roman"/>
          <w:sz w:val="24"/>
          <w:szCs w:val="24"/>
        </w:rPr>
        <w:t xml:space="preserve"> </w:t>
      </w:r>
      <w:r>
        <w:rPr>
          <w:rFonts w:ascii="Times New Roman" w:eastAsia="Calibri" w:hAnsi="Times New Roman" w:cs="Times New Roman"/>
          <w:sz w:val="24"/>
          <w:szCs w:val="24"/>
        </w:rPr>
        <w:t>SIGMA guidelines and</w:t>
      </w:r>
      <w:r w:rsidRPr="36BE81E9">
        <w:rPr>
          <w:rFonts w:ascii="Times New Roman" w:eastAsia="Calibri" w:hAnsi="Times New Roman" w:cs="Times New Roman"/>
          <w:sz w:val="24"/>
          <w:szCs w:val="24"/>
        </w:rPr>
        <w:t xml:space="preserve"> relevant assessments, including peer reviews. </w:t>
      </w:r>
    </w:p>
    <w:p w14:paraId="45D16CD8"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The necessary domestic financial and administrative resources are effectively and efficiently mobilised.</w:t>
      </w:r>
    </w:p>
    <w:p w14:paraId="0E496B18" w14:textId="35DCE402"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Systematic efforts are made to raise public awareness of the relevance of the issues supported under this </w:t>
      </w:r>
      <w:r w:rsidR="00E14AB4">
        <w:rPr>
          <w:rFonts w:ascii="Times New Roman" w:eastAsia="Calibri" w:hAnsi="Times New Roman" w:cs="Times New Roman"/>
          <w:sz w:val="24"/>
          <w:szCs w:val="24"/>
        </w:rPr>
        <w:t>w</w:t>
      </w:r>
      <w:r w:rsidRPr="36BE81E9">
        <w:rPr>
          <w:rFonts w:ascii="Times New Roman" w:eastAsia="Calibri" w:hAnsi="Times New Roman" w:cs="Times New Roman"/>
          <w:sz w:val="24"/>
          <w:szCs w:val="24"/>
        </w:rPr>
        <w:t>indow.</w:t>
      </w:r>
    </w:p>
    <w:p w14:paraId="319E3C48" w14:textId="77777777" w:rsidR="005739B7" w:rsidRPr="00C03C2F" w:rsidRDefault="005739B7" w:rsidP="005739B7">
      <w:pPr>
        <w:spacing w:after="120" w:line="240" w:lineRule="auto"/>
        <w:jc w:val="both"/>
        <w:rPr>
          <w:rFonts w:ascii="Times New Roman" w:hAnsi="Times New Roman" w:cs="Times New Roman"/>
          <w:i/>
          <w:iCs/>
          <w:sz w:val="24"/>
          <w:szCs w:val="24"/>
          <w:u w:val="single"/>
        </w:rPr>
      </w:pPr>
      <w:r w:rsidRPr="36BE81E9">
        <w:rPr>
          <w:rFonts w:ascii="Times New Roman" w:hAnsi="Times New Roman" w:cs="Times New Roman"/>
          <w:i/>
          <w:iCs/>
          <w:sz w:val="24"/>
          <w:szCs w:val="24"/>
          <w:u w:val="single"/>
        </w:rPr>
        <w:t xml:space="preserve">Risks </w:t>
      </w:r>
    </w:p>
    <w:p w14:paraId="1E7B515A"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Primary risk is the lack of political will to implement necessary reforms effectively and establish the necessary track</w:t>
      </w:r>
      <w:r>
        <w:rPr>
          <w:rFonts w:ascii="Times New Roman" w:hAnsi="Times New Roman" w:cs="Times New Roman"/>
          <w:sz w:val="24"/>
          <w:szCs w:val="24"/>
        </w:rPr>
        <w:t>-</w:t>
      </w:r>
      <w:r w:rsidRPr="36BE81E9">
        <w:rPr>
          <w:rFonts w:ascii="Times New Roman" w:hAnsi="Times New Roman" w:cs="Times New Roman"/>
          <w:sz w:val="24"/>
          <w:szCs w:val="24"/>
        </w:rPr>
        <w:t>records from an early stage.</w:t>
      </w:r>
    </w:p>
    <w:p w14:paraId="7BECB033"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There could also be external factors influencing public support for accession process as a whole as well as reforms in Rule of Law and Fundamental Rights in particular. Unresolved bilateral issues can be a major driver of this risk with bilateral political disputes used instrumentally. Lack of willingness of third countries of origin to cooperate on </w:t>
      </w:r>
      <w:r>
        <w:rPr>
          <w:rFonts w:ascii="Times New Roman" w:hAnsi="Times New Roman" w:cs="Times New Roman"/>
          <w:sz w:val="24"/>
          <w:szCs w:val="24"/>
        </w:rPr>
        <w:t>migration management</w:t>
      </w:r>
      <w:r w:rsidRPr="36BE81E9">
        <w:rPr>
          <w:rFonts w:ascii="Times New Roman" w:hAnsi="Times New Roman" w:cs="Times New Roman"/>
          <w:sz w:val="24"/>
          <w:szCs w:val="24"/>
        </w:rPr>
        <w:t xml:space="preserve"> is another risk factor. There is a risk of obstacles to working with civil society, due to restrictive legal environment and tense political situations. The consequence is that CSOs might face more difficulties in fulfilling their obligations under EU funded grants or that it will be more difficult to provide funding to these organisations. There is also a risk of non-genuine civil society and non-governmental organisations bidding for EU funded projects.</w:t>
      </w:r>
    </w:p>
    <w:p w14:paraId="423091CF" w14:textId="77777777" w:rsidR="005739B7" w:rsidRPr="005742F9" w:rsidRDefault="005739B7" w:rsidP="005739B7">
      <w:pPr>
        <w:spacing w:after="120"/>
        <w:rPr>
          <w:rFonts w:ascii="Times New Roman" w:hAnsi="Times New Roman" w:cs="Times New Roman"/>
          <w:i/>
          <w:iCs/>
        </w:rPr>
      </w:pPr>
      <w:r w:rsidRPr="005742F9">
        <w:rPr>
          <w:rFonts w:ascii="Times New Roman" w:hAnsi="Times New Roman" w:cs="Times New Roman"/>
          <w:i/>
          <w:iCs/>
        </w:rPr>
        <w:br w:type="page"/>
      </w:r>
    </w:p>
    <w:p w14:paraId="5C5680A6" w14:textId="77777777" w:rsidR="005739B7" w:rsidRPr="00173A5B" w:rsidRDefault="005739B7" w:rsidP="005739B7">
      <w:pPr>
        <w:pBdr>
          <w:top w:val="single" w:sz="4" w:space="1" w:color="auto"/>
          <w:left w:val="single" w:sz="4" w:space="1" w:color="auto"/>
          <w:bottom w:val="single" w:sz="4" w:space="1" w:color="auto"/>
          <w:right w:val="single" w:sz="4" w:space="1" w:color="auto"/>
        </w:pBdr>
        <w:spacing w:after="120"/>
        <w:jc w:val="center"/>
        <w:rPr>
          <w:rFonts w:ascii="Times New Roman" w:hAnsi="Times New Roman" w:cs="Times New Roman"/>
          <w:b/>
          <w:color w:val="000000" w:themeColor="text1"/>
          <w:sz w:val="24"/>
        </w:rPr>
      </w:pPr>
    </w:p>
    <w:p w14:paraId="7D9240F5" w14:textId="77777777" w:rsidR="005739B7" w:rsidRPr="00173A5B" w:rsidRDefault="005739B7" w:rsidP="005739B7">
      <w:pPr>
        <w:pStyle w:val="Balk1"/>
        <w:pBdr>
          <w:top w:val="single" w:sz="4" w:space="1" w:color="auto"/>
          <w:left w:val="single" w:sz="4" w:space="1" w:color="auto"/>
          <w:bottom w:val="single" w:sz="4" w:space="1" w:color="auto"/>
          <w:right w:val="single" w:sz="4" w:space="1" w:color="auto"/>
        </w:pBdr>
        <w:jc w:val="center"/>
        <w:rPr>
          <w:rFonts w:ascii="Times New Roman" w:hAnsi="Times New Roman" w:cs="Times New Roman"/>
          <w:b/>
          <w:bCs/>
          <w:color w:val="000000" w:themeColor="text1"/>
        </w:rPr>
      </w:pPr>
      <w:bookmarkStart w:id="11" w:name="_Toc46402480"/>
      <w:bookmarkStart w:id="12" w:name="_Toc46402555"/>
      <w:bookmarkStart w:id="13" w:name="_Toc46480669"/>
      <w:bookmarkStart w:id="14" w:name="_Toc55992236"/>
      <w:bookmarkStart w:id="15" w:name="_Toc56584493"/>
      <w:r w:rsidRPr="36BE81E9">
        <w:rPr>
          <w:rFonts w:ascii="Times New Roman" w:hAnsi="Times New Roman" w:cs="Times New Roman"/>
          <w:b/>
          <w:bCs/>
          <w:color w:val="000000" w:themeColor="text1"/>
        </w:rPr>
        <w:t xml:space="preserve">WINDOW 2 - GOOD GOVERNANCE, </w:t>
      </w:r>
      <w:r>
        <w:rPr>
          <w:rFonts w:ascii="Times New Roman" w:hAnsi="Times New Roman" w:cs="Times New Roman"/>
          <w:b/>
          <w:bCs/>
          <w:color w:val="000000" w:themeColor="text1"/>
        </w:rPr>
        <w:t xml:space="preserve">EU </w:t>
      </w:r>
      <w:r w:rsidRPr="00D80E5D">
        <w:rPr>
          <w:rFonts w:ascii="Times New Roman" w:hAnsi="Times New Roman" w:cs="Times New Roman"/>
          <w:b/>
          <w:bCs/>
          <w:i/>
          <w:color w:val="000000" w:themeColor="text1"/>
        </w:rPr>
        <w:t>ACQUIS</w:t>
      </w:r>
      <w:r w:rsidRPr="36BE81E9">
        <w:rPr>
          <w:rFonts w:ascii="Times New Roman" w:hAnsi="Times New Roman" w:cs="Times New Roman"/>
          <w:b/>
          <w:bCs/>
          <w:color w:val="000000" w:themeColor="text1"/>
        </w:rPr>
        <w:t xml:space="preserve"> ALIGNMENT, GOOD NEIGHBOURLY RELATIONS AND STRATEGIC COMMUNICATION</w:t>
      </w:r>
      <w:bookmarkEnd w:id="11"/>
      <w:bookmarkEnd w:id="12"/>
      <w:bookmarkEnd w:id="13"/>
      <w:bookmarkEnd w:id="14"/>
      <w:bookmarkEnd w:id="15"/>
    </w:p>
    <w:p w14:paraId="6ED30358" w14:textId="77777777" w:rsidR="005739B7" w:rsidRPr="00173A5B" w:rsidRDefault="005739B7" w:rsidP="005739B7">
      <w:pPr>
        <w:pBdr>
          <w:top w:val="single" w:sz="4" w:space="1" w:color="auto"/>
          <w:left w:val="single" w:sz="4" w:space="1" w:color="auto"/>
          <w:bottom w:val="single" w:sz="4" w:space="1" w:color="auto"/>
          <w:right w:val="single" w:sz="4" w:space="1" w:color="auto"/>
        </w:pBdr>
        <w:spacing w:after="120"/>
        <w:jc w:val="center"/>
        <w:rPr>
          <w:rFonts w:ascii="Times New Roman" w:hAnsi="Times New Roman" w:cs="Times New Roman"/>
          <w:b/>
          <w:color w:val="000000" w:themeColor="text1"/>
          <w:sz w:val="24"/>
        </w:rPr>
      </w:pPr>
    </w:p>
    <w:p w14:paraId="3034290D" w14:textId="77777777" w:rsidR="005739B7" w:rsidRDefault="005739B7" w:rsidP="005739B7">
      <w:pPr>
        <w:spacing w:after="0"/>
      </w:pPr>
    </w:p>
    <w:p w14:paraId="5C17A8B8" w14:textId="77777777" w:rsidR="005739B7" w:rsidRDefault="005739B7" w:rsidP="005739B7">
      <w:pPr>
        <w:spacing w:after="0"/>
      </w:pPr>
    </w:p>
    <w:p w14:paraId="12B0823F" w14:textId="77777777" w:rsidR="005739B7" w:rsidRPr="00512CA4" w:rsidRDefault="005739B7" w:rsidP="005739B7">
      <w:pPr>
        <w:spacing w:after="0"/>
      </w:pPr>
    </w:p>
    <w:p w14:paraId="188177D7" w14:textId="77777777" w:rsidR="005739B7" w:rsidRPr="00C03C2F" w:rsidRDefault="005739B7" w:rsidP="005739B7">
      <w:pPr>
        <w:numPr>
          <w:ilvl w:val="0"/>
          <w:numId w:val="12"/>
        </w:numPr>
        <w:spacing w:after="120" w:line="240" w:lineRule="auto"/>
        <w:ind w:left="426" w:hanging="426"/>
        <w:rPr>
          <w:rFonts w:ascii="Times New Roman" w:eastAsia="Calibri" w:hAnsi="Times New Roman" w:cs="Times New Roman"/>
          <w:b/>
          <w:bCs/>
          <w:sz w:val="24"/>
          <w:szCs w:val="24"/>
        </w:rPr>
      </w:pPr>
      <w:r w:rsidRPr="36BE81E9">
        <w:rPr>
          <w:rFonts w:ascii="Times New Roman" w:eastAsia="Calibri" w:hAnsi="Times New Roman" w:cs="Times New Roman"/>
          <w:b/>
          <w:bCs/>
          <w:sz w:val="24"/>
          <w:szCs w:val="24"/>
        </w:rPr>
        <w:t>Context Analysis</w:t>
      </w:r>
    </w:p>
    <w:p w14:paraId="39DF3B7D" w14:textId="5D30BFC5"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Public administration reform (PAR), together with rule of law and economic development, is a fundamental pillar of the enlargement process</w:t>
      </w:r>
      <w:r w:rsidR="004702DB">
        <w:rPr>
          <w:rFonts w:ascii="Times New Roman" w:eastAsia="Calibri" w:hAnsi="Times New Roman" w:cs="Times New Roman"/>
          <w:sz w:val="24"/>
          <w:szCs w:val="24"/>
        </w:rPr>
        <w:t xml:space="preserve">, a part of </w:t>
      </w:r>
      <w:r w:rsidR="00942107">
        <w:rPr>
          <w:rFonts w:ascii="Times New Roman" w:hAnsi="Times New Roman" w:cs="Times New Roman"/>
          <w:sz w:val="24"/>
          <w:szCs w:val="24"/>
        </w:rPr>
        <w:t xml:space="preserve">cluster 1 (Fundamentals) </w:t>
      </w:r>
      <w:r w:rsidR="004702DB">
        <w:rPr>
          <w:rFonts w:ascii="Times New Roman" w:eastAsia="Calibri" w:hAnsi="Times New Roman" w:cs="Times New Roman"/>
          <w:sz w:val="24"/>
          <w:szCs w:val="24"/>
        </w:rPr>
        <w:t>under the enhanced enlargement methodology,</w:t>
      </w:r>
      <w:r w:rsidRPr="36BE81E9">
        <w:rPr>
          <w:rFonts w:ascii="Times New Roman" w:eastAsia="Calibri" w:hAnsi="Times New Roman" w:cs="Times New Roman"/>
          <w:sz w:val="24"/>
          <w:szCs w:val="24"/>
        </w:rPr>
        <w:t xml:space="preserve"> and a basis for effective implementation of EU policies and legislation. A well-functioning and de-politicised public administration is necessary for democratic governance.</w:t>
      </w:r>
      <w:r>
        <w:rPr>
          <w:rFonts w:ascii="Times New Roman" w:eastAsia="Calibri" w:hAnsi="Times New Roman" w:cs="Times New Roman"/>
          <w:sz w:val="24"/>
          <w:szCs w:val="24"/>
        </w:rPr>
        <w:t xml:space="preserve"> </w:t>
      </w:r>
      <w:r w:rsidRPr="36BE81E9">
        <w:rPr>
          <w:rFonts w:ascii="Times New Roman" w:eastAsia="Calibri" w:hAnsi="Times New Roman" w:cs="Times New Roman"/>
          <w:sz w:val="24"/>
          <w:szCs w:val="24"/>
        </w:rPr>
        <w:t xml:space="preserve">The governments’ ability to ensure coherent application of rules, procedures, standards and human resources management across public administration </w:t>
      </w:r>
      <w:r w:rsidRPr="002246A1">
        <w:rPr>
          <w:rFonts w:ascii="Times New Roman" w:eastAsia="Calibri" w:hAnsi="Times New Roman" w:cs="Times New Roman"/>
          <w:sz w:val="24"/>
          <w:szCs w:val="24"/>
        </w:rPr>
        <w:t>at central, regional and local level</w:t>
      </w:r>
      <w:r>
        <w:rPr>
          <w:rFonts w:ascii="Times New Roman" w:eastAsia="Calibri" w:hAnsi="Times New Roman" w:cs="Times New Roman"/>
          <w:sz w:val="24"/>
          <w:szCs w:val="24"/>
        </w:rPr>
        <w:t xml:space="preserve"> </w:t>
      </w:r>
      <w:r w:rsidR="00E14AB4">
        <w:rPr>
          <w:rFonts w:ascii="Times New Roman" w:eastAsia="Calibri" w:hAnsi="Times New Roman" w:cs="Times New Roman"/>
          <w:sz w:val="24"/>
          <w:szCs w:val="24"/>
        </w:rPr>
        <w:t xml:space="preserve">has a </w:t>
      </w:r>
      <w:r w:rsidRPr="36BE81E9">
        <w:rPr>
          <w:rFonts w:ascii="Times New Roman" w:eastAsia="Calibri" w:hAnsi="Times New Roman" w:cs="Times New Roman"/>
          <w:sz w:val="24"/>
          <w:szCs w:val="24"/>
        </w:rPr>
        <w:t>direct impact</w:t>
      </w:r>
      <w:r w:rsidR="00E14AB4">
        <w:rPr>
          <w:rFonts w:ascii="Times New Roman" w:eastAsia="Calibri" w:hAnsi="Times New Roman" w:cs="Times New Roman"/>
          <w:sz w:val="24"/>
          <w:szCs w:val="24"/>
        </w:rPr>
        <w:t xml:space="preserve"> on the</w:t>
      </w:r>
      <w:r w:rsidRPr="36BE81E9">
        <w:rPr>
          <w:rFonts w:ascii="Times New Roman" w:eastAsia="Calibri" w:hAnsi="Times New Roman" w:cs="Times New Roman"/>
          <w:sz w:val="24"/>
          <w:szCs w:val="24"/>
        </w:rPr>
        <w:t xml:space="preserve"> quality of sector policies, public services, and ultimately competitiveness and growth.</w:t>
      </w:r>
    </w:p>
    <w:p w14:paraId="43F9EFB8"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Beneficiaries will need to find, in line with their constitutions and decentralisation policies, an appropriate balance between central, regional and local government that best supports implementation of reforms and the delivery of services to citizens. The sub-national levels of government will have as a reference the same governance standards as are expected at the central government level.</w:t>
      </w:r>
    </w:p>
    <w:p w14:paraId="666E405B" w14:textId="6423754E" w:rsidR="005739B7" w:rsidRPr="005742F9" w:rsidRDefault="004702DB" w:rsidP="005739B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Also part of </w:t>
      </w:r>
      <w:r w:rsidR="00942107">
        <w:rPr>
          <w:rFonts w:ascii="Times New Roman" w:eastAsia="Calibri" w:hAnsi="Times New Roman" w:cs="Times New Roman"/>
          <w:sz w:val="24"/>
          <w:szCs w:val="24"/>
        </w:rPr>
        <w:t>c</w:t>
      </w:r>
      <w:r w:rsidR="00942107">
        <w:rPr>
          <w:rFonts w:ascii="Times New Roman" w:hAnsi="Times New Roman" w:cs="Times New Roman"/>
          <w:sz w:val="24"/>
          <w:szCs w:val="24"/>
        </w:rPr>
        <w:t xml:space="preserve">luster 1 (Fundamentals) </w:t>
      </w:r>
      <w:r>
        <w:rPr>
          <w:rFonts w:ascii="Times New Roman" w:eastAsia="Calibri" w:hAnsi="Times New Roman" w:cs="Times New Roman"/>
          <w:sz w:val="24"/>
          <w:szCs w:val="24"/>
        </w:rPr>
        <w:t>under the enhanced enlargement methodology, r</w:t>
      </w:r>
      <w:r w:rsidR="005739B7" w:rsidRPr="36BE81E9">
        <w:rPr>
          <w:rFonts w:ascii="Times New Roman" w:eastAsia="Calibri" w:hAnsi="Times New Roman" w:cs="Times New Roman"/>
          <w:sz w:val="24"/>
          <w:szCs w:val="24"/>
        </w:rPr>
        <w:t>eliable, objective and timely statistics are crucial for decision-makers for evidence-based policy development and monitoring and evaluation of implementation of policies. They are equally important for citizens to scrutinise governments’ performances and the use of public finance.</w:t>
      </w:r>
    </w:p>
    <w:p w14:paraId="2EA7CD15"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Economic governance is the system by which government institutions, including independent actors like the central bank, regulate and steer the economy. It has emerged as one of the key processes within the EU since the financial crisis and the creation of the European Semester. The economies of the IPA III beneficiaries face many structural weaknesses, with inefficient and rigid markets, low productivity, limited access to finance, unclear property rights and a cumbersome regulatory environment, leading to low competitiveness and high unemployment. </w:t>
      </w:r>
    </w:p>
    <w:p w14:paraId="7673794A"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As key part of the Copenhagen criteria, IPA III beneficiaries need to bring their legislation in line with the EU policies and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and to ensure the required administrative capacity. This is crucial for the EU accession and successful participation in the internal market.</w:t>
      </w:r>
    </w:p>
    <w:p w14:paraId="470103D8" w14:textId="65815EE8"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For the accession process to be a success and gain the support of the citizens, its opportunities, results and challenges must be communicated clearly, in the region and in the EU.</w:t>
      </w:r>
      <w:r w:rsidR="00A369D9">
        <w:rPr>
          <w:rFonts w:ascii="Times New Roman" w:eastAsia="Calibri" w:hAnsi="Times New Roman" w:cs="Times New Roman"/>
          <w:sz w:val="24"/>
          <w:szCs w:val="24"/>
        </w:rPr>
        <w:t xml:space="preserve">. </w:t>
      </w:r>
      <w:r w:rsidRPr="36BE81E9">
        <w:rPr>
          <w:rFonts w:ascii="Times New Roman" w:eastAsia="Calibri" w:hAnsi="Times New Roman" w:cs="Times New Roman"/>
          <w:sz w:val="24"/>
          <w:szCs w:val="24"/>
        </w:rPr>
        <w:t>Effective communication, covering different layers of information, is conducted through raising awareness and support for the EU values, for the accession process and for the benefits, obligations and impact of EU membership on the daily lives of citizens, and where relevant, through dispelling myths and misconceptions and addressing disinformation. Focus should be on sector-specific communication, which should be based on the concerns of the population and on the th</w:t>
      </w:r>
      <w:r w:rsidR="009E3AF9">
        <w:rPr>
          <w:rFonts w:ascii="Times New Roman" w:eastAsia="Calibri" w:hAnsi="Times New Roman" w:cs="Times New Roman"/>
          <w:sz w:val="24"/>
          <w:szCs w:val="24"/>
        </w:rPr>
        <w:t>ematic priorities set at IPA III beneficiar</w:t>
      </w:r>
      <w:r w:rsidR="00AB5558">
        <w:rPr>
          <w:rFonts w:ascii="Times New Roman" w:eastAsia="Calibri" w:hAnsi="Times New Roman" w:cs="Times New Roman"/>
          <w:sz w:val="24"/>
          <w:szCs w:val="24"/>
        </w:rPr>
        <w:t>i</w:t>
      </w:r>
      <w:r w:rsidR="009E3AF9">
        <w:rPr>
          <w:rFonts w:ascii="Times New Roman" w:eastAsia="Calibri" w:hAnsi="Times New Roman" w:cs="Times New Roman"/>
          <w:sz w:val="24"/>
          <w:szCs w:val="24"/>
        </w:rPr>
        <w:t>es</w:t>
      </w:r>
      <w:r w:rsidR="00193087">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or regional level, addressing the results and impact of the EU and </w:t>
      </w:r>
      <w:r>
        <w:rPr>
          <w:rFonts w:ascii="Times New Roman" w:eastAsia="Calibri" w:hAnsi="Times New Roman" w:cs="Times New Roman"/>
          <w:sz w:val="24"/>
          <w:szCs w:val="24"/>
        </w:rPr>
        <w:t>its</w:t>
      </w:r>
      <w:r w:rsidRPr="36BE81E9">
        <w:rPr>
          <w:rFonts w:ascii="Times New Roman" w:eastAsia="Calibri" w:hAnsi="Times New Roman" w:cs="Times New Roman"/>
          <w:sz w:val="24"/>
          <w:szCs w:val="24"/>
        </w:rPr>
        <w:t xml:space="preserve"> support on the life of citizens.</w:t>
      </w:r>
    </w:p>
    <w:p w14:paraId="0CFD47F8" w14:textId="52FD14C9" w:rsidR="005739B7"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Regional cooperation, good neighbourly relations and reconciliation are essential parts of the Stabilisation and Association Process and key for progress on the respective European paths. They contribute to foster stability and a climate conducive to addressing open bilateral issues and the legacy of the past. </w:t>
      </w:r>
      <w:r w:rsidR="002D4517">
        <w:rPr>
          <w:rFonts w:ascii="Times New Roman" w:eastAsia="Calibri" w:hAnsi="Times New Roman" w:cs="Times New Roman"/>
          <w:sz w:val="24"/>
          <w:szCs w:val="24"/>
        </w:rPr>
        <w:t>F</w:t>
      </w:r>
      <w:r w:rsidR="002D4517" w:rsidRPr="36BE81E9">
        <w:rPr>
          <w:rFonts w:ascii="Times New Roman" w:eastAsia="Calibri" w:hAnsi="Times New Roman" w:cs="Times New Roman"/>
          <w:sz w:val="24"/>
          <w:szCs w:val="24"/>
        </w:rPr>
        <w:t>ormats for political and policy cooperation driven by the region</w:t>
      </w:r>
      <w:r w:rsidR="002D4517">
        <w:rPr>
          <w:rFonts w:ascii="Times New Roman" w:eastAsia="Calibri" w:hAnsi="Times New Roman" w:cs="Times New Roman"/>
          <w:sz w:val="24"/>
          <w:szCs w:val="24"/>
        </w:rPr>
        <w:t>,</w:t>
      </w:r>
      <w:r w:rsidR="002D4517" w:rsidRPr="36BE81E9">
        <w:rPr>
          <w:rFonts w:ascii="Times New Roman" w:eastAsia="Calibri" w:hAnsi="Times New Roman" w:cs="Times New Roman"/>
          <w:sz w:val="24"/>
          <w:szCs w:val="24"/>
        </w:rPr>
        <w:t xml:space="preserve"> and recent summits</w:t>
      </w:r>
      <w:r w:rsidR="002D4517">
        <w:rPr>
          <w:rFonts w:ascii="Times New Roman" w:eastAsia="Calibri" w:hAnsi="Times New Roman" w:cs="Times New Roman"/>
          <w:sz w:val="24"/>
          <w:szCs w:val="24"/>
        </w:rPr>
        <w:t>,</w:t>
      </w:r>
      <w:r w:rsidR="002D4517" w:rsidRPr="36BE81E9">
        <w:rPr>
          <w:rFonts w:ascii="Times New Roman" w:eastAsia="Calibri" w:hAnsi="Times New Roman" w:cs="Times New Roman"/>
          <w:sz w:val="24"/>
          <w:szCs w:val="24"/>
        </w:rPr>
        <w:t xml:space="preserve"> have provided</w:t>
      </w:r>
      <w:r w:rsidR="002D4517">
        <w:rPr>
          <w:rFonts w:ascii="Times New Roman" w:eastAsia="Calibri" w:hAnsi="Times New Roman" w:cs="Times New Roman"/>
          <w:sz w:val="24"/>
          <w:szCs w:val="24"/>
        </w:rPr>
        <w:t xml:space="preserve"> a</w:t>
      </w:r>
      <w:r w:rsidR="002D4517" w:rsidRPr="36BE81E9">
        <w:rPr>
          <w:rFonts w:ascii="Times New Roman" w:eastAsia="Calibri" w:hAnsi="Times New Roman" w:cs="Times New Roman"/>
          <w:sz w:val="24"/>
          <w:szCs w:val="24"/>
        </w:rPr>
        <w:t xml:space="preserve"> new momentum </w:t>
      </w:r>
      <w:r w:rsidR="002D4517">
        <w:rPr>
          <w:rFonts w:ascii="Times New Roman" w:eastAsia="Calibri" w:hAnsi="Times New Roman" w:cs="Times New Roman"/>
          <w:sz w:val="24"/>
          <w:szCs w:val="24"/>
        </w:rPr>
        <w:t xml:space="preserve">to regional cooperation and good neighbourly relations. This is also building on </w:t>
      </w:r>
      <w:r w:rsidRPr="36BE81E9">
        <w:rPr>
          <w:rFonts w:ascii="Times New Roman" w:eastAsia="Calibri" w:hAnsi="Times New Roman" w:cs="Times New Roman"/>
          <w:sz w:val="24"/>
          <w:szCs w:val="24"/>
        </w:rPr>
        <w:t xml:space="preserve">existing regional initiatives </w:t>
      </w:r>
      <w:r>
        <w:rPr>
          <w:rFonts w:ascii="Times New Roman" w:eastAsia="Calibri" w:hAnsi="Times New Roman" w:cs="Times New Roman"/>
          <w:sz w:val="24"/>
          <w:szCs w:val="24"/>
        </w:rPr>
        <w:t xml:space="preserve">and cooperation frameworks </w:t>
      </w:r>
      <w:r w:rsidRPr="36BE81E9">
        <w:rPr>
          <w:rFonts w:ascii="Times New Roman" w:eastAsia="Calibri" w:hAnsi="Times New Roman" w:cs="Times New Roman"/>
          <w:sz w:val="24"/>
          <w:szCs w:val="24"/>
        </w:rPr>
        <w:t xml:space="preserve">such as the Regional Cooperation Council, </w:t>
      </w:r>
      <w:r w:rsidRPr="00501C72">
        <w:rPr>
          <w:rFonts w:ascii="Times New Roman" w:eastAsia="Calibri" w:hAnsi="Times New Roman" w:cs="Times New Roman"/>
          <w:sz w:val="24"/>
          <w:szCs w:val="24"/>
        </w:rPr>
        <w:t>the EU Strategy for the Adriatic-Ionian Region</w:t>
      </w:r>
      <w:r w:rsidR="00F01F81">
        <w:rPr>
          <w:rStyle w:val="DipnotBavurusu"/>
          <w:rFonts w:ascii="Times New Roman" w:eastAsia="Calibri" w:hAnsi="Times New Roman" w:cs="Times New Roman"/>
          <w:sz w:val="24"/>
          <w:szCs w:val="24"/>
        </w:rPr>
        <w:footnoteReference w:id="25"/>
      </w:r>
      <w:r w:rsidRPr="00501C72">
        <w:rPr>
          <w:rFonts w:ascii="Times New Roman" w:eastAsia="Calibri" w:hAnsi="Times New Roman" w:cs="Times New Roman"/>
          <w:sz w:val="24"/>
          <w:szCs w:val="24"/>
        </w:rPr>
        <w:t>, the EU Strategy for the Danube Region</w:t>
      </w:r>
      <w:r w:rsidR="00F01F81">
        <w:rPr>
          <w:rStyle w:val="DipnotBavurusu"/>
          <w:rFonts w:ascii="Times New Roman" w:eastAsia="Calibri" w:hAnsi="Times New Roman" w:cs="Times New Roman"/>
          <w:sz w:val="24"/>
          <w:szCs w:val="24"/>
        </w:rPr>
        <w:footnoteReference w:id="26"/>
      </w:r>
      <w:r w:rsidRPr="00501C72">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Transport Community Treaty, the Energy Community Treaty</w:t>
      </w:r>
      <w:r w:rsidRPr="00501C72">
        <w:rPr>
          <w:rFonts w:ascii="Times New Roman" w:eastAsia="Calibri" w:hAnsi="Times New Roman" w:cs="Times New Roman"/>
          <w:sz w:val="24"/>
          <w:szCs w:val="24"/>
        </w:rPr>
        <w:t xml:space="preserve"> </w:t>
      </w:r>
      <w:r w:rsidR="002D4517">
        <w:rPr>
          <w:rFonts w:ascii="Times New Roman" w:eastAsia="Calibri" w:hAnsi="Times New Roman" w:cs="Times New Roman"/>
          <w:sz w:val="24"/>
          <w:szCs w:val="24"/>
        </w:rPr>
        <w:t>and</w:t>
      </w:r>
      <w:r w:rsidRPr="00501C72">
        <w:rPr>
          <w:rFonts w:ascii="Times New Roman" w:eastAsia="Calibri" w:hAnsi="Times New Roman" w:cs="Times New Roman"/>
          <w:sz w:val="24"/>
          <w:szCs w:val="24"/>
        </w:rPr>
        <w:t xml:space="preserve"> the </w:t>
      </w:r>
      <w:r w:rsidRPr="008C350B">
        <w:rPr>
          <w:rFonts w:ascii="Times New Roman" w:eastAsia="Calibri" w:hAnsi="Times New Roman" w:cs="Times New Roman"/>
          <w:sz w:val="24"/>
          <w:szCs w:val="24"/>
        </w:rPr>
        <w:t>Central European Free Trade Agreement (</w:t>
      </w:r>
      <w:r w:rsidRPr="00501C72">
        <w:rPr>
          <w:rFonts w:ascii="Times New Roman" w:eastAsia="Calibri" w:hAnsi="Times New Roman" w:cs="Times New Roman"/>
          <w:sz w:val="24"/>
          <w:szCs w:val="24"/>
        </w:rPr>
        <w:t>CEFTA</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This needs to be further exploited in order to continue contributing to political stabilisation</w:t>
      </w:r>
      <w:r>
        <w:rPr>
          <w:rFonts w:ascii="Times New Roman" w:eastAsia="Calibri" w:hAnsi="Times New Roman" w:cs="Times New Roman"/>
          <w:sz w:val="24"/>
          <w:szCs w:val="24"/>
        </w:rPr>
        <w:t xml:space="preserve">, </w:t>
      </w:r>
      <w:r w:rsidRPr="36BE81E9">
        <w:rPr>
          <w:rFonts w:ascii="Times New Roman" w:eastAsia="Calibri" w:hAnsi="Times New Roman" w:cs="Times New Roman"/>
          <w:sz w:val="24"/>
          <w:szCs w:val="24"/>
        </w:rPr>
        <w:t>to create economic opportunities</w:t>
      </w:r>
      <w:r>
        <w:rPr>
          <w:rFonts w:ascii="Times New Roman" w:eastAsia="Calibri" w:hAnsi="Times New Roman" w:cs="Times New Roman"/>
          <w:sz w:val="24"/>
          <w:szCs w:val="24"/>
        </w:rPr>
        <w:t xml:space="preserve"> and to support the European integration</w:t>
      </w:r>
      <w:r w:rsidRPr="36BE81E9">
        <w:rPr>
          <w:rFonts w:ascii="Times New Roman" w:eastAsia="Calibri" w:hAnsi="Times New Roman" w:cs="Times New Roman"/>
          <w:sz w:val="24"/>
          <w:szCs w:val="24"/>
        </w:rPr>
        <w:t xml:space="preserve">. Together with improved regional cooperation, further efforts towards reconciliation are crucial to firmly anchor peace and ensure lasting stability in the region. </w:t>
      </w:r>
    </w:p>
    <w:p w14:paraId="6BBEA80B" w14:textId="77777777" w:rsidR="005739B7" w:rsidRPr="005742F9" w:rsidRDefault="005739B7" w:rsidP="005739B7">
      <w:pPr>
        <w:spacing w:after="120" w:line="240" w:lineRule="auto"/>
        <w:jc w:val="both"/>
        <w:rPr>
          <w:rFonts w:ascii="Times New Roman" w:eastAsia="Calibri" w:hAnsi="Times New Roman" w:cs="Times New Roman"/>
          <w:sz w:val="24"/>
          <w:szCs w:val="24"/>
        </w:rPr>
      </w:pPr>
    </w:p>
    <w:p w14:paraId="0C419B9F" w14:textId="77777777" w:rsidR="005739B7" w:rsidRPr="005742F9" w:rsidRDefault="005739B7" w:rsidP="005739B7">
      <w:pPr>
        <w:numPr>
          <w:ilvl w:val="0"/>
          <w:numId w:val="12"/>
        </w:numPr>
        <w:spacing w:after="120" w:line="240" w:lineRule="auto"/>
        <w:ind w:left="426" w:hanging="426"/>
        <w:rPr>
          <w:rFonts w:ascii="Times New Roman" w:hAnsi="Times New Roman" w:cs="Times New Roman"/>
          <w:b/>
          <w:bCs/>
        </w:rPr>
      </w:pPr>
      <w:r w:rsidRPr="36BE81E9">
        <w:rPr>
          <w:rFonts w:ascii="Times New Roman" w:eastAsia="Calibri" w:hAnsi="Times New Roman" w:cs="Times New Roman"/>
          <w:b/>
          <w:bCs/>
          <w:sz w:val="24"/>
          <w:szCs w:val="24"/>
        </w:rPr>
        <w:t>Key priorities for IPA III support</w:t>
      </w:r>
    </w:p>
    <w:p w14:paraId="4BFBCC59"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overall objective of the EU’s assistance under Window 2 is </w:t>
      </w:r>
      <w:r w:rsidRPr="36BE81E9">
        <w:rPr>
          <w:rFonts w:ascii="Times New Roman" w:eastAsia="Calibri" w:hAnsi="Times New Roman" w:cs="Times New Roman"/>
          <w:sz w:val="24"/>
          <w:szCs w:val="24"/>
        </w:rPr>
        <w:t>to promote good governance, increase the compliance with Union’s values and their alignment with the Union’s rules, standards and practices in the relevant areas. EU assistance will also foster peace and stability across the region.</w:t>
      </w:r>
    </w:p>
    <w:p w14:paraId="15DB44E8" w14:textId="4C6A9F8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Window 2 aims to address overall public governance, in particular public administration reform</w:t>
      </w:r>
      <w:r>
        <w:rPr>
          <w:rFonts w:ascii="Times New Roman" w:eastAsia="Calibri" w:hAnsi="Times New Roman" w:cs="Times New Roman"/>
          <w:sz w:val="24"/>
          <w:szCs w:val="24"/>
        </w:rPr>
        <w:t>, including digital transformation</w:t>
      </w:r>
      <w:r w:rsidRPr="36BE81E9">
        <w:rPr>
          <w:rFonts w:ascii="Times New Roman" w:eastAsia="Calibri" w:hAnsi="Times New Roman" w:cs="Times New Roman"/>
          <w:sz w:val="24"/>
          <w:szCs w:val="24"/>
        </w:rPr>
        <w:t xml:space="preserve"> and public financial management at all levels of government, as well as legislative and institutional alignment with the 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(unless specifically covered in other windows). It will also support people-to-people contacts as well as efforts on regional cooperation, reconciliation and good neighbourly relations. Strategic communication will also be supported. The proposed actions will be designed in a way to assess, address and mainstream gender</w:t>
      </w:r>
      <w:r w:rsidR="00716AF7">
        <w:rPr>
          <w:rFonts w:ascii="Times New Roman" w:eastAsia="Calibri" w:hAnsi="Times New Roman" w:cs="Times New Roman"/>
          <w:sz w:val="24"/>
          <w:szCs w:val="24"/>
        </w:rPr>
        <w:t xml:space="preserve"> equality</w:t>
      </w:r>
      <w:r w:rsidRPr="36BE81E9">
        <w:rPr>
          <w:rFonts w:ascii="Times New Roman" w:eastAsia="Calibri" w:hAnsi="Times New Roman" w:cs="Times New Roman"/>
          <w:sz w:val="24"/>
          <w:szCs w:val="24"/>
        </w:rPr>
        <w:t xml:space="preserve">, with special consideration to combatting all forms of sexual and gender-based violence, promoting gender equality and empowering girls and women. </w:t>
      </w:r>
    </w:p>
    <w:p w14:paraId="17EF3234"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1: Good governance</w:t>
      </w:r>
    </w:p>
    <w:p w14:paraId="4E65B807"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specific objective of IPA III support in this area is to modernise public administrations at all levels of government, strengthen statistical systems and economic governance, and hence contribute to sustainable growth and to improve competitiveness. </w:t>
      </w:r>
    </w:p>
    <w:p w14:paraId="2F51B4CB" w14:textId="7A42D6DB"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b/>
          <w:bCs/>
          <w:sz w:val="24"/>
          <w:szCs w:val="24"/>
        </w:rPr>
        <w:t xml:space="preserve">Public administration reform </w:t>
      </w:r>
      <w:r w:rsidRPr="36BE81E9">
        <w:rPr>
          <w:rFonts w:ascii="Times New Roman" w:eastAsia="Calibri" w:hAnsi="Times New Roman" w:cs="Times New Roman"/>
          <w:sz w:val="24"/>
          <w:szCs w:val="24"/>
        </w:rPr>
        <w:t xml:space="preserve">is one of the fundamentals of the enlargement policy and it will continue to be a priority. An accountable, transparent and well-functioning public administration is not only a democratic right of citizens but also </w:t>
      </w:r>
      <w:r>
        <w:rPr>
          <w:rFonts w:ascii="Times New Roman" w:eastAsia="Calibri" w:hAnsi="Times New Roman" w:cs="Times New Roman"/>
          <w:sz w:val="24"/>
          <w:szCs w:val="24"/>
        </w:rPr>
        <w:t>guarantor of delivery of quality services and</w:t>
      </w:r>
      <w:r w:rsidRPr="36BE81E9">
        <w:rPr>
          <w:rFonts w:ascii="Times New Roman" w:eastAsia="Calibri" w:hAnsi="Times New Roman" w:cs="Times New Roman"/>
          <w:sz w:val="24"/>
          <w:szCs w:val="24"/>
        </w:rPr>
        <w:t xml:space="preserve"> the key driver of economic growth and competitiveness. Public administration reform is integrally linked to the rule of law, especially the prevention of corruption</w:t>
      </w:r>
      <w:r w:rsidR="00351486">
        <w:rPr>
          <w:rFonts w:ascii="Times New Roman" w:eastAsia="Calibri" w:hAnsi="Times New Roman" w:cs="Times New Roman"/>
          <w:sz w:val="24"/>
          <w:szCs w:val="24"/>
        </w:rPr>
        <w:t xml:space="preserve"> the fight against fraud</w:t>
      </w:r>
      <w:r w:rsidR="00716AF7">
        <w:rPr>
          <w:rFonts w:ascii="Times New Roman" w:eastAsia="Calibri" w:hAnsi="Times New Roman" w:cs="Times New Roman"/>
          <w:sz w:val="24"/>
          <w:szCs w:val="24"/>
        </w:rPr>
        <w:t xml:space="preserve"> </w:t>
      </w:r>
      <w:r w:rsidRPr="36BE81E9">
        <w:rPr>
          <w:rFonts w:ascii="Times New Roman" w:eastAsia="Calibri" w:hAnsi="Times New Roman" w:cs="Times New Roman"/>
          <w:sz w:val="24"/>
          <w:szCs w:val="24"/>
        </w:rPr>
        <w:t>as it enhances the transparency, predictability and accountability of government work. It is also key in the promotion of gender equality and women’s empowerment, e.g. in the civil service workforce.</w:t>
      </w:r>
      <w:r>
        <w:rPr>
          <w:rFonts w:ascii="Times New Roman" w:eastAsia="Calibri" w:hAnsi="Times New Roman" w:cs="Times New Roman"/>
          <w:sz w:val="24"/>
          <w:szCs w:val="24"/>
        </w:rPr>
        <w:t xml:space="preserve"> Public administration reform will require </w:t>
      </w:r>
      <w:r w:rsidR="00C24E68">
        <w:rPr>
          <w:rFonts w:ascii="Times New Roman" w:eastAsia="Calibri" w:hAnsi="Times New Roman" w:cs="Times New Roman"/>
          <w:sz w:val="24"/>
          <w:szCs w:val="24"/>
        </w:rPr>
        <w:t>e-</w:t>
      </w:r>
      <w:r>
        <w:rPr>
          <w:rFonts w:ascii="Times New Roman" w:eastAsia="Calibri" w:hAnsi="Times New Roman" w:cs="Times New Roman"/>
          <w:sz w:val="24"/>
          <w:szCs w:val="24"/>
        </w:rPr>
        <w:t>government</w:t>
      </w:r>
      <w:r w:rsidR="00C24E68">
        <w:rPr>
          <w:rFonts w:ascii="Times New Roman" w:eastAsia="Calibri" w:hAnsi="Times New Roman" w:cs="Times New Roman"/>
          <w:sz w:val="24"/>
          <w:szCs w:val="24"/>
        </w:rPr>
        <w:t xml:space="preserve"> to </w:t>
      </w:r>
      <w:r w:rsidR="004B2EC0">
        <w:rPr>
          <w:rFonts w:ascii="Times New Roman" w:eastAsia="Calibri" w:hAnsi="Times New Roman" w:cs="Times New Roman"/>
          <w:sz w:val="24"/>
          <w:szCs w:val="24"/>
        </w:rPr>
        <w:t xml:space="preserve">work towards </w:t>
      </w:r>
      <w:r w:rsidR="00C24E68">
        <w:rPr>
          <w:rFonts w:ascii="Times New Roman" w:eastAsia="Calibri" w:hAnsi="Times New Roman" w:cs="Times New Roman"/>
          <w:sz w:val="24"/>
          <w:szCs w:val="24"/>
        </w:rPr>
        <w:t>becom</w:t>
      </w:r>
      <w:r w:rsidR="004B2EC0">
        <w:rPr>
          <w:rFonts w:ascii="Times New Roman" w:eastAsia="Calibri" w:hAnsi="Times New Roman" w:cs="Times New Roman"/>
          <w:sz w:val="24"/>
          <w:szCs w:val="24"/>
        </w:rPr>
        <w:t>ing</w:t>
      </w:r>
      <w:r w:rsidR="00C24E68">
        <w:rPr>
          <w:rFonts w:ascii="Times New Roman" w:eastAsia="Calibri" w:hAnsi="Times New Roman" w:cs="Times New Roman"/>
          <w:sz w:val="24"/>
          <w:szCs w:val="24"/>
        </w:rPr>
        <w:t xml:space="preserve"> digital by default</w:t>
      </w:r>
      <w:r>
        <w:rPr>
          <w:rFonts w:ascii="Times New Roman" w:eastAsia="Calibri" w:hAnsi="Times New Roman" w:cs="Times New Roman"/>
          <w:sz w:val="24"/>
          <w:szCs w:val="24"/>
        </w:rPr>
        <w:t xml:space="preserve"> in support of cross-sector, cross-administration and cross-border cooperation, in order to ensure interoperability, trust and openness.</w:t>
      </w:r>
    </w:p>
    <w:p w14:paraId="6C9197D3" w14:textId="7BAF8089" w:rsidR="005739B7" w:rsidRPr="005742F9" w:rsidRDefault="005739B7" w:rsidP="005739B7">
      <w:p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IPA III will continue to support public administration reform at central government level in line with the normative framework of the Principles of Public Administration</w:t>
      </w:r>
      <w:r w:rsidRPr="005742F9">
        <w:rPr>
          <w:rFonts w:ascii="Times New Roman" w:eastAsia="Calibri" w:hAnsi="Times New Roman" w:cs="Times New Roman"/>
          <w:sz w:val="24"/>
          <w:szCs w:val="24"/>
          <w:vertAlign w:val="superscript"/>
        </w:rPr>
        <w:footnoteReference w:id="27"/>
      </w:r>
      <w:r w:rsidRPr="005742F9">
        <w:rPr>
          <w:rFonts w:ascii="Times New Roman" w:eastAsia="Calibri" w:hAnsi="Times New Roman" w:cs="Times New Roman"/>
          <w:sz w:val="24"/>
          <w:szCs w:val="24"/>
        </w:rPr>
        <w:t xml:space="preserve">. The </w:t>
      </w:r>
      <w:r w:rsidR="00224FA1">
        <w:rPr>
          <w:rFonts w:ascii="Times New Roman" w:eastAsia="Calibri" w:hAnsi="Times New Roman" w:cs="Times New Roman"/>
          <w:sz w:val="24"/>
          <w:szCs w:val="24"/>
        </w:rPr>
        <w:t>p</w:t>
      </w:r>
      <w:r w:rsidRPr="005742F9">
        <w:rPr>
          <w:rFonts w:ascii="Times New Roman" w:eastAsia="Calibri" w:hAnsi="Times New Roman" w:cs="Times New Roman"/>
          <w:sz w:val="24"/>
          <w:szCs w:val="24"/>
        </w:rPr>
        <w:t xml:space="preserve">rinciples cover the following core areas: strategic framework; policy development and coordination; public service and human resources management; accountability; service delivery and public financial management. </w:t>
      </w:r>
      <w:r>
        <w:rPr>
          <w:rFonts w:ascii="Times New Roman" w:eastAsia="Calibri" w:hAnsi="Times New Roman" w:cs="Times New Roman"/>
          <w:sz w:val="24"/>
          <w:szCs w:val="24"/>
        </w:rPr>
        <w:t>Digital transformation will be a strategic enabler</w:t>
      </w:r>
      <w:r w:rsidRPr="005742F9">
        <w:rPr>
          <w:rFonts w:ascii="Times New Roman" w:eastAsia="Calibri" w:hAnsi="Times New Roman" w:cs="Times New Roman"/>
          <w:sz w:val="24"/>
          <w:szCs w:val="24"/>
        </w:rPr>
        <w:t xml:space="preserve">. Most IPA III beneficiaries have adopted comprehensive reform strategies and are addressing identified institutional, legislative and administrative weaknesses in the different core areas, following the assessments against the </w:t>
      </w:r>
      <w:r w:rsidR="00224FA1">
        <w:rPr>
          <w:rFonts w:ascii="Times New Roman" w:eastAsia="Calibri" w:hAnsi="Times New Roman" w:cs="Times New Roman"/>
          <w:sz w:val="24"/>
          <w:szCs w:val="24"/>
        </w:rPr>
        <w:t>p</w:t>
      </w:r>
      <w:r w:rsidRPr="005742F9">
        <w:rPr>
          <w:rFonts w:ascii="Times New Roman" w:eastAsia="Calibri" w:hAnsi="Times New Roman" w:cs="Times New Roman"/>
          <w:sz w:val="24"/>
          <w:szCs w:val="24"/>
        </w:rPr>
        <w:t>rinciples in the following years. EU assistance will continue to support the implementation of the reform strategies, including their upgrading or renewal, as necessary, following the regular monitoring against the Principles of Public Administration. The focus of assistance will gradually shift towards supporting implementation of new rules and standards in line institutions, while maintaining necessary support to coordinating institutions. There will be also an increased focus to supporting managerial accountability</w:t>
      </w:r>
      <w:r>
        <w:rPr>
          <w:rFonts w:ascii="Times New Roman" w:eastAsia="Calibri" w:hAnsi="Times New Roman" w:cs="Times New Roman"/>
          <w:sz w:val="24"/>
          <w:szCs w:val="24"/>
        </w:rPr>
        <w:t>, evidence-informed policy-making</w:t>
      </w:r>
      <w:r w:rsidRPr="005742F9">
        <w:rPr>
          <w:rFonts w:ascii="Times New Roman" w:eastAsia="Calibri" w:hAnsi="Times New Roman" w:cs="Times New Roman"/>
          <w:sz w:val="24"/>
          <w:szCs w:val="24"/>
        </w:rPr>
        <w:t xml:space="preserve"> and improved internal control culture across administration. Civil society participation in the context of public administration reform will also be supported. </w:t>
      </w:r>
    </w:p>
    <w:p w14:paraId="287A6FD1" w14:textId="16E308F3" w:rsidR="005739B7" w:rsidRPr="00C03C2F" w:rsidRDefault="005739B7" w:rsidP="005739B7">
      <w:p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Under </w:t>
      </w:r>
      <w:r w:rsidRPr="36BE81E9">
        <w:rPr>
          <w:rFonts w:ascii="Times New Roman" w:eastAsia="Calibri" w:hAnsi="Times New Roman" w:cs="Times New Roman"/>
          <w:b/>
          <w:bCs/>
          <w:sz w:val="24"/>
          <w:szCs w:val="24"/>
        </w:rPr>
        <w:t>public financial management</w:t>
      </w:r>
      <w:r w:rsidRPr="36BE81E9">
        <w:rPr>
          <w:rFonts w:ascii="Times New Roman" w:eastAsia="Calibri" w:hAnsi="Times New Roman" w:cs="Times New Roman"/>
          <w:sz w:val="24"/>
          <w:szCs w:val="24"/>
        </w:rPr>
        <w:t>, as an integral part of public administration reform, the key priority will be to support IPA III beneficiaries to implement and upgrade their reform strategies to ensure fiscal sustainability and sound management of public finances as applicable in the EU</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There will notably be a focus on improving the capacity for domestic revenue mobilisation and effective management of public funds, including through upgrading the revenue administration, budget reliability, transparency of public finances, public investment planning</w:t>
      </w:r>
      <w:r>
        <w:rPr>
          <w:rFonts w:ascii="Times New Roman" w:eastAsia="Calibri" w:hAnsi="Times New Roman" w:cs="Times New Roman"/>
          <w:sz w:val="24"/>
          <w:szCs w:val="24"/>
        </w:rPr>
        <w:t>, selection</w:t>
      </w:r>
      <w:r w:rsidRPr="36BE81E9">
        <w:rPr>
          <w:rFonts w:ascii="Times New Roman" w:eastAsia="Calibri" w:hAnsi="Times New Roman" w:cs="Times New Roman"/>
          <w:sz w:val="24"/>
          <w:szCs w:val="24"/>
        </w:rPr>
        <w:t xml:space="preserve"> and management, management of assets and liabilities, policy-based fiscal strategy and budgeting, public procurement and concessions, internal control, accounting and reporting, and external audit. Gender</w:t>
      </w:r>
      <w:r>
        <w:rPr>
          <w:rFonts w:ascii="Times New Roman" w:eastAsia="Calibri" w:hAnsi="Times New Roman" w:cs="Times New Roman"/>
          <w:sz w:val="24"/>
          <w:szCs w:val="24"/>
        </w:rPr>
        <w:t xml:space="preserve">-sensitive budgeting should be promoted and </w:t>
      </w:r>
      <w:r w:rsidRPr="36BE81E9">
        <w:rPr>
          <w:rFonts w:ascii="Times New Roman" w:hAnsi="Times New Roman" w:cs="Times New Roman"/>
          <w:sz w:val="24"/>
          <w:szCs w:val="24"/>
        </w:rPr>
        <w:t>systematic inequalities</w:t>
      </w:r>
      <w:r>
        <w:rPr>
          <w:rFonts w:ascii="Times New Roman" w:hAnsi="Times New Roman" w:cs="Times New Roman"/>
          <w:sz w:val="24"/>
          <w:szCs w:val="24"/>
        </w:rPr>
        <w:t xml:space="preserve"> reduced</w:t>
      </w:r>
      <w:r w:rsidRPr="36BE81E9">
        <w:rPr>
          <w:rFonts w:ascii="Times New Roman" w:hAnsi="Times New Roman" w:cs="Times New Roman"/>
          <w:sz w:val="24"/>
          <w:szCs w:val="24"/>
        </w:rPr>
        <w:t xml:space="preserve">. </w:t>
      </w:r>
    </w:p>
    <w:p w14:paraId="7C2069A2" w14:textId="1EDB0B73"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Increasing</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transparency will remain a priority when allocating support under IPA III, in particular regarding the management of public funds and at all stages in </w:t>
      </w:r>
      <w:r w:rsidRPr="36BE81E9">
        <w:rPr>
          <w:rFonts w:ascii="Times New Roman" w:hAnsi="Times New Roman" w:cs="Times New Roman"/>
          <w:b/>
          <w:bCs/>
          <w:sz w:val="24"/>
          <w:szCs w:val="24"/>
        </w:rPr>
        <w:t>public procurement</w:t>
      </w:r>
      <w:r w:rsidRPr="36BE81E9">
        <w:rPr>
          <w:rFonts w:ascii="Times New Roman" w:hAnsi="Times New Roman" w:cs="Times New Roman"/>
          <w:sz w:val="24"/>
          <w:szCs w:val="24"/>
        </w:rPr>
        <w:t xml:space="preserve">, an area particularly prone to corruption. </w:t>
      </w:r>
      <w:r w:rsidRPr="004A4017">
        <w:rPr>
          <w:rFonts w:ascii="Times New Roman" w:hAnsi="Times New Roman" w:cs="Times New Roman"/>
          <w:sz w:val="24"/>
          <w:szCs w:val="24"/>
        </w:rPr>
        <w:t>Support will be provided to improve the transparency, competitiveness and fairness of public procurement tenders, reduce the use of restricted tendering, and ensure the effective implementation of the exclusion criteria applied to tenderers, as stipulate</w:t>
      </w:r>
      <w:r w:rsidR="00E73D8A">
        <w:rPr>
          <w:rFonts w:ascii="Times New Roman" w:hAnsi="Times New Roman" w:cs="Times New Roman"/>
          <w:sz w:val="24"/>
          <w:szCs w:val="24"/>
        </w:rPr>
        <w:t>d by EU procurement legislation</w:t>
      </w:r>
      <w:r w:rsidRPr="36BE81E9">
        <w:rPr>
          <w:rFonts w:ascii="Times New Roman" w:hAnsi="Times New Roman" w:cs="Times New Roman"/>
          <w:sz w:val="24"/>
          <w:szCs w:val="24"/>
        </w:rPr>
        <w:t>. Support will also be granted to effectively roll out e-procurement</w:t>
      </w:r>
      <w:r>
        <w:rPr>
          <w:rFonts w:ascii="Times New Roman" w:hAnsi="Times New Roman" w:cs="Times New Roman"/>
          <w:sz w:val="24"/>
          <w:szCs w:val="24"/>
        </w:rPr>
        <w:t xml:space="preserve"> and digital transformation of the public procurement systems, as well as professionali</w:t>
      </w:r>
      <w:r w:rsidR="005333A5">
        <w:rPr>
          <w:rFonts w:ascii="Times New Roman" w:hAnsi="Times New Roman" w:cs="Times New Roman"/>
          <w:sz w:val="24"/>
          <w:szCs w:val="24"/>
        </w:rPr>
        <w:t>s</w:t>
      </w:r>
      <w:r>
        <w:rPr>
          <w:rFonts w:ascii="Times New Roman" w:hAnsi="Times New Roman" w:cs="Times New Roman"/>
          <w:sz w:val="24"/>
          <w:szCs w:val="24"/>
        </w:rPr>
        <w:t>ation of the procurers, especially concerning strategic procurement (green, social, innovation, etc.)</w:t>
      </w:r>
      <w:r w:rsidRPr="36BE81E9">
        <w:rPr>
          <w:rFonts w:ascii="Times New Roman" w:hAnsi="Times New Roman" w:cs="Times New Roman"/>
          <w:sz w:val="24"/>
          <w:szCs w:val="24"/>
        </w:rPr>
        <w:t xml:space="preserve">. These reforms are vital to enable citizens to monitor how their taxes are spent, from the initial tender to final execution of contracts. Control mechanisms throughout the procurement process </w:t>
      </w:r>
      <w:r>
        <w:rPr>
          <w:rFonts w:ascii="Times New Roman" w:hAnsi="Times New Roman" w:cs="Times New Roman"/>
          <w:sz w:val="24"/>
          <w:szCs w:val="24"/>
        </w:rPr>
        <w:t xml:space="preserve">will </w:t>
      </w:r>
      <w:r w:rsidRPr="36BE81E9">
        <w:rPr>
          <w:rFonts w:ascii="Times New Roman" w:hAnsi="Times New Roman" w:cs="Times New Roman"/>
          <w:sz w:val="24"/>
          <w:szCs w:val="24"/>
        </w:rPr>
        <w:t>also be strengthened.</w:t>
      </w:r>
    </w:p>
    <w:p w14:paraId="02815B59" w14:textId="3D02DAA0" w:rsidR="005739B7"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quality of </w:t>
      </w:r>
      <w:r w:rsidRPr="36BE81E9">
        <w:rPr>
          <w:rFonts w:ascii="Times New Roman" w:eastAsia="Calibri" w:hAnsi="Times New Roman" w:cs="Times New Roman"/>
          <w:b/>
          <w:bCs/>
          <w:sz w:val="24"/>
          <w:szCs w:val="24"/>
        </w:rPr>
        <w:t>governance at sub-national levels</w:t>
      </w:r>
      <w:r w:rsidRPr="36BE81E9">
        <w:rPr>
          <w:rFonts w:ascii="Times New Roman" w:eastAsia="Calibri" w:hAnsi="Times New Roman" w:cs="Times New Roman"/>
          <w:sz w:val="24"/>
          <w:szCs w:val="24"/>
        </w:rPr>
        <w:t xml:space="preserve"> is very important in the enlargement context, as regional and local governments are closest to the citizens and play a key role in providing public services as well as in building citizens’ trust in </w:t>
      </w:r>
      <w:r>
        <w:rPr>
          <w:rFonts w:ascii="Times New Roman" w:eastAsia="Calibri" w:hAnsi="Times New Roman" w:cs="Times New Roman"/>
          <w:sz w:val="24"/>
          <w:szCs w:val="24"/>
        </w:rPr>
        <w:t>public</w:t>
      </w:r>
      <w:r w:rsidRPr="36BE81E9">
        <w:rPr>
          <w:rFonts w:ascii="Times New Roman" w:eastAsia="Calibri" w:hAnsi="Times New Roman" w:cs="Times New Roman"/>
          <w:sz w:val="24"/>
          <w:szCs w:val="24"/>
        </w:rPr>
        <w:t xml:space="preserve"> institutions. They will also play a key role in the management of EU funds and with the</w:t>
      </w:r>
      <w:r>
        <w:rPr>
          <w:rFonts w:ascii="Times New Roman" w:eastAsia="Calibri" w:hAnsi="Times New Roman" w:cs="Times New Roman"/>
          <w:sz w:val="24"/>
          <w:szCs w:val="24"/>
        </w:rPr>
        <w:t xml:space="preserve"> </w:t>
      </w:r>
      <w:r w:rsidRPr="36BE81E9">
        <w:rPr>
          <w:rFonts w:ascii="Times New Roman" w:eastAsia="Calibri" w:hAnsi="Times New Roman" w:cs="Times New Roman"/>
          <w:sz w:val="24"/>
          <w:szCs w:val="24"/>
        </w:rPr>
        <w:t xml:space="preserve">implementation of a large part of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upon accession, including in areas</w:t>
      </w:r>
      <w:r w:rsidR="00E73D8A">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such as public procurement, internal control, competition, state aid, communal services, </w:t>
      </w:r>
      <w:r>
        <w:rPr>
          <w:rFonts w:ascii="Times New Roman" w:eastAsia="Calibri" w:hAnsi="Times New Roman" w:cs="Times New Roman"/>
          <w:sz w:val="24"/>
          <w:szCs w:val="24"/>
        </w:rPr>
        <w:t xml:space="preserve">agriculture and </w:t>
      </w:r>
      <w:r w:rsidRPr="36BE81E9">
        <w:rPr>
          <w:rFonts w:ascii="Times New Roman" w:eastAsia="Calibri" w:hAnsi="Times New Roman" w:cs="Times New Roman"/>
          <w:sz w:val="24"/>
          <w:szCs w:val="24"/>
        </w:rPr>
        <w:t xml:space="preserve">rural development, employment and social policy, energy efficiency and environment/water and waste management. </w:t>
      </w:r>
    </w:p>
    <w:p w14:paraId="379A2399" w14:textId="545304F5" w:rsidR="005739B7" w:rsidRDefault="005739B7" w:rsidP="005739B7">
      <w:pPr>
        <w:spacing w:after="120" w:line="240" w:lineRule="auto"/>
        <w:jc w:val="both"/>
        <w:rPr>
          <w:rFonts w:ascii="Times New Roman" w:hAnsi="Times New Roman" w:cs="Times New Roman"/>
          <w:sz w:val="24"/>
          <w:szCs w:val="24"/>
        </w:rPr>
      </w:pPr>
      <w:r w:rsidRPr="00C91DBA">
        <w:rPr>
          <w:rFonts w:ascii="Times New Roman" w:hAnsi="Times New Roman" w:cs="Times New Roman"/>
          <w:sz w:val="24"/>
          <w:szCs w:val="24"/>
        </w:rPr>
        <w:t xml:space="preserve">The local level </w:t>
      </w:r>
      <w:r>
        <w:rPr>
          <w:rFonts w:ascii="Times New Roman" w:hAnsi="Times New Roman" w:cs="Times New Roman"/>
          <w:sz w:val="24"/>
          <w:szCs w:val="24"/>
        </w:rPr>
        <w:t>is</w:t>
      </w:r>
      <w:r w:rsidRPr="00C91DBA">
        <w:rPr>
          <w:rFonts w:ascii="Times New Roman" w:hAnsi="Times New Roman" w:cs="Times New Roman"/>
          <w:sz w:val="24"/>
          <w:szCs w:val="24"/>
        </w:rPr>
        <w:t xml:space="preserve"> the place where direct democracy and civic representation are exercised, where services are provided, and where social and economic development takes place. Local governments should play a more critical role in shaping and developing the social and economic life of their territories, bringing communities together, and providing local solutions to local problems. The performance of local government and how it interacts with citizens, will affect the latter’s behaviour as well as cohesion and trust within and among communities; this will legitimi</w:t>
      </w:r>
      <w:r w:rsidR="005333A5">
        <w:rPr>
          <w:rFonts w:ascii="Times New Roman" w:hAnsi="Times New Roman" w:cs="Times New Roman"/>
          <w:sz w:val="24"/>
          <w:szCs w:val="24"/>
        </w:rPr>
        <w:t>s</w:t>
      </w:r>
      <w:r w:rsidRPr="00C91DBA">
        <w:rPr>
          <w:rFonts w:ascii="Times New Roman" w:hAnsi="Times New Roman" w:cs="Times New Roman"/>
          <w:sz w:val="24"/>
          <w:szCs w:val="24"/>
        </w:rPr>
        <w:t xml:space="preserve">e the local government’s efforts and drive sustainable development. Inadequate local governance would affect all citizens, but especially the vulnerable, often enhancing exclusion. Enhancing governance, popular engagement, transparency and accountability at regional and local levels </w:t>
      </w:r>
      <w:r>
        <w:rPr>
          <w:rFonts w:ascii="Times New Roman" w:hAnsi="Times New Roman" w:cs="Times New Roman"/>
          <w:sz w:val="24"/>
          <w:szCs w:val="24"/>
        </w:rPr>
        <w:t>in compliance with t</w:t>
      </w:r>
      <w:r w:rsidRPr="008735AD">
        <w:rPr>
          <w:rFonts w:ascii="Times New Roman" w:hAnsi="Times New Roman" w:cs="Times New Roman"/>
          <w:sz w:val="24"/>
          <w:szCs w:val="24"/>
        </w:rPr>
        <w:t>he European Charter of Local Self-Government</w:t>
      </w:r>
      <w:r>
        <w:rPr>
          <w:rFonts w:ascii="Times New Roman" w:hAnsi="Times New Roman" w:cs="Times New Roman"/>
          <w:sz w:val="24"/>
          <w:szCs w:val="24"/>
        </w:rPr>
        <w:t xml:space="preserve"> </w:t>
      </w:r>
      <w:r w:rsidRPr="00C91DBA">
        <w:rPr>
          <w:rFonts w:ascii="Times New Roman" w:hAnsi="Times New Roman" w:cs="Times New Roman"/>
          <w:sz w:val="24"/>
          <w:szCs w:val="24"/>
        </w:rPr>
        <w:t>should accordingly be another fundamental policy priority.</w:t>
      </w:r>
    </w:p>
    <w:p w14:paraId="2F547C40" w14:textId="77777777" w:rsidR="005739B7" w:rsidRDefault="005739B7" w:rsidP="005739B7">
      <w:pPr>
        <w:spacing w:after="120" w:line="240" w:lineRule="auto"/>
        <w:jc w:val="both"/>
      </w:pPr>
      <w:r w:rsidRPr="36BE81E9">
        <w:rPr>
          <w:rFonts w:ascii="Times New Roman" w:eastAsia="Calibri" w:hAnsi="Times New Roman" w:cs="Times New Roman"/>
          <w:sz w:val="24"/>
          <w:szCs w:val="24"/>
        </w:rPr>
        <w:t xml:space="preserve">Improving governance at sub-national levels, especially the capacity for inclusive and evidence-based policy development, merit-based human resources management, </w:t>
      </w:r>
      <w:r>
        <w:rPr>
          <w:rFonts w:ascii="Times New Roman" w:eastAsia="Calibri" w:hAnsi="Times New Roman" w:cs="Times New Roman"/>
          <w:sz w:val="24"/>
          <w:szCs w:val="24"/>
        </w:rPr>
        <w:t xml:space="preserve">e-Governance, </w:t>
      </w:r>
      <w:r w:rsidRPr="36BE81E9">
        <w:rPr>
          <w:rFonts w:ascii="Times New Roman" w:eastAsia="Calibri" w:hAnsi="Times New Roman" w:cs="Times New Roman"/>
          <w:sz w:val="24"/>
          <w:szCs w:val="24"/>
        </w:rPr>
        <w:t xml:space="preserve">public financial management, transparency and accountability towards citizens and efficient service delivery will be among key priorities together with the fight against corruption (in complementarity with the assistance provided under Window 1). The priority will be to support those administrations at sub-national levels that are committed to improving the quality of their governance, and develop or upgrade relevant governance reform plans that can be monitored over time. </w:t>
      </w:r>
      <w:r>
        <w:rPr>
          <w:rFonts w:ascii="Times New Roman" w:eastAsia="Calibri" w:hAnsi="Times New Roman" w:cs="Times New Roman"/>
          <w:sz w:val="24"/>
          <w:szCs w:val="24"/>
        </w:rPr>
        <w:t xml:space="preserve">Interoperable, trusted and inclusive digital public services are a major change vector at local government level. </w:t>
      </w:r>
      <w:r w:rsidRPr="36BE81E9">
        <w:rPr>
          <w:rFonts w:ascii="Times New Roman" w:eastAsia="Calibri" w:hAnsi="Times New Roman" w:cs="Times New Roman"/>
          <w:sz w:val="24"/>
          <w:szCs w:val="24"/>
        </w:rPr>
        <w:t xml:space="preserve">In addition, support will be provided to decentralisation processes, in line with the beneficiaries’ constitutions and policies, including </w:t>
      </w:r>
      <w:r>
        <w:rPr>
          <w:rFonts w:ascii="Times New Roman" w:eastAsia="Calibri" w:hAnsi="Times New Roman" w:cs="Times New Roman"/>
          <w:sz w:val="24"/>
          <w:szCs w:val="24"/>
        </w:rPr>
        <w:t>the</w:t>
      </w:r>
      <w:r w:rsidRPr="36BE81E9">
        <w:rPr>
          <w:rFonts w:ascii="Times New Roman" w:eastAsia="Calibri" w:hAnsi="Times New Roman" w:cs="Times New Roman"/>
          <w:sz w:val="24"/>
          <w:szCs w:val="24"/>
        </w:rPr>
        <w:t xml:space="preserve"> development of credible and relevant strategic frameworks and their implementation.</w:t>
      </w:r>
      <w:r>
        <w:t xml:space="preserve"> </w:t>
      </w:r>
    </w:p>
    <w:p w14:paraId="572F81A9" w14:textId="15234B98"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concerned </w:t>
      </w:r>
      <w:r>
        <w:rPr>
          <w:rFonts w:ascii="Times New Roman" w:eastAsia="Calibri" w:hAnsi="Times New Roman" w:cs="Times New Roman"/>
          <w:sz w:val="24"/>
          <w:szCs w:val="24"/>
        </w:rPr>
        <w:t xml:space="preserve">EU </w:t>
      </w:r>
      <w:r w:rsidRPr="008A7BD5">
        <w:rPr>
          <w:rFonts w:ascii="Times New Roman" w:eastAsia="Calibri" w:hAnsi="Times New Roman" w:cs="Times New Roman"/>
          <w:i/>
          <w:sz w:val="24"/>
          <w:szCs w:val="24"/>
        </w:rPr>
        <w:t>acquis</w:t>
      </w:r>
      <w:r w:rsidRPr="36BE81E9">
        <w:rPr>
          <w:rFonts w:ascii="Times New Roman" w:eastAsia="Calibri" w:hAnsi="Times New Roman" w:cs="Times New Roman"/>
          <w:sz w:val="24"/>
          <w:szCs w:val="24"/>
        </w:rPr>
        <w:t xml:space="preserve"> chapters are in particular chapters 3</w:t>
      </w:r>
      <w:r>
        <w:rPr>
          <w:rFonts w:ascii="Times New Roman" w:eastAsia="Calibri" w:hAnsi="Times New Roman" w:cs="Times New Roman"/>
          <w:sz w:val="24"/>
          <w:szCs w:val="24"/>
        </w:rPr>
        <w:t xml:space="preserve"> (</w:t>
      </w:r>
      <w:r w:rsidRPr="00FF5AC0">
        <w:rPr>
          <w:rFonts w:ascii="Times New Roman" w:eastAsia="Calibri" w:hAnsi="Times New Roman" w:cs="Times New Roman"/>
          <w:sz w:val="24"/>
          <w:szCs w:val="24"/>
        </w:rPr>
        <w:t>Right of establishment and freedom to provide services</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5</w:t>
      </w:r>
      <w:r>
        <w:rPr>
          <w:rFonts w:ascii="Times New Roman" w:eastAsia="Calibri" w:hAnsi="Times New Roman" w:cs="Times New Roman"/>
          <w:sz w:val="24"/>
          <w:szCs w:val="24"/>
        </w:rPr>
        <w:t xml:space="preserve"> (Public procurement)</w:t>
      </w:r>
      <w:r w:rsidRPr="36BE81E9">
        <w:rPr>
          <w:rFonts w:ascii="Times New Roman" w:eastAsia="Calibri" w:hAnsi="Times New Roman" w:cs="Times New Roman"/>
          <w:sz w:val="24"/>
          <w:szCs w:val="24"/>
        </w:rPr>
        <w:t>, 8</w:t>
      </w:r>
      <w:r>
        <w:rPr>
          <w:rFonts w:ascii="Times New Roman" w:eastAsia="Calibri" w:hAnsi="Times New Roman" w:cs="Times New Roman"/>
          <w:sz w:val="24"/>
          <w:szCs w:val="24"/>
        </w:rPr>
        <w:t xml:space="preserve"> (Competition policy)</w:t>
      </w:r>
      <w:r w:rsidRPr="36BE81E9">
        <w:rPr>
          <w:rFonts w:ascii="Times New Roman" w:eastAsia="Calibri" w:hAnsi="Times New Roman" w:cs="Times New Roman"/>
          <w:sz w:val="24"/>
          <w:szCs w:val="24"/>
        </w:rPr>
        <w:t>, 11</w:t>
      </w:r>
      <w:r>
        <w:rPr>
          <w:rFonts w:ascii="Times New Roman" w:eastAsia="Calibri" w:hAnsi="Times New Roman" w:cs="Times New Roman"/>
          <w:sz w:val="24"/>
          <w:szCs w:val="24"/>
        </w:rPr>
        <w:t xml:space="preserve"> (Agriculture and Rural Development)</w:t>
      </w:r>
      <w:r w:rsidRPr="36BE81E9">
        <w:rPr>
          <w:rFonts w:ascii="Times New Roman" w:eastAsia="Calibri" w:hAnsi="Times New Roman" w:cs="Times New Roman"/>
          <w:sz w:val="24"/>
          <w:szCs w:val="24"/>
        </w:rPr>
        <w:t>, 16</w:t>
      </w:r>
      <w:r>
        <w:rPr>
          <w:rFonts w:ascii="Times New Roman" w:eastAsia="Calibri" w:hAnsi="Times New Roman" w:cs="Times New Roman"/>
          <w:sz w:val="24"/>
          <w:szCs w:val="24"/>
        </w:rPr>
        <w:t xml:space="preserve"> (Taxation)</w:t>
      </w:r>
      <w:r w:rsidRPr="36BE81E9">
        <w:rPr>
          <w:rFonts w:ascii="Times New Roman" w:eastAsia="Calibri" w:hAnsi="Times New Roman" w:cs="Times New Roman"/>
          <w:sz w:val="24"/>
          <w:szCs w:val="24"/>
        </w:rPr>
        <w:t>, 19</w:t>
      </w:r>
      <w:r>
        <w:rPr>
          <w:rFonts w:ascii="Times New Roman" w:eastAsia="Calibri" w:hAnsi="Times New Roman" w:cs="Times New Roman"/>
          <w:sz w:val="24"/>
          <w:szCs w:val="24"/>
        </w:rPr>
        <w:t xml:space="preserve"> (Social policy and employment)</w:t>
      </w:r>
      <w:r w:rsidRPr="36BE81E9">
        <w:rPr>
          <w:rFonts w:ascii="Times New Roman" w:eastAsia="Calibri" w:hAnsi="Times New Roman" w:cs="Times New Roman"/>
          <w:sz w:val="24"/>
          <w:szCs w:val="24"/>
        </w:rPr>
        <w:t>, 22</w:t>
      </w:r>
      <w:r>
        <w:rPr>
          <w:rFonts w:ascii="Times New Roman" w:eastAsia="Calibri" w:hAnsi="Times New Roman" w:cs="Times New Roman"/>
          <w:sz w:val="24"/>
          <w:szCs w:val="24"/>
        </w:rPr>
        <w:t xml:space="preserve"> (</w:t>
      </w:r>
      <w:r w:rsidRPr="00FF5AC0">
        <w:rPr>
          <w:rFonts w:ascii="Times New Roman" w:eastAsia="Calibri" w:hAnsi="Times New Roman" w:cs="Times New Roman"/>
          <w:sz w:val="24"/>
          <w:szCs w:val="24"/>
        </w:rPr>
        <w:t>Regional policy and coordination of structural instruments</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23</w:t>
      </w:r>
      <w:r>
        <w:rPr>
          <w:rFonts w:ascii="Times New Roman" w:eastAsia="Calibri" w:hAnsi="Times New Roman" w:cs="Times New Roman"/>
          <w:sz w:val="24"/>
          <w:szCs w:val="24"/>
        </w:rPr>
        <w:t xml:space="preserve"> (</w:t>
      </w:r>
      <w:r w:rsidRPr="00C226EE">
        <w:rPr>
          <w:rFonts w:ascii="Times New Roman" w:eastAsia="Calibri" w:hAnsi="Times New Roman" w:cs="Times New Roman"/>
          <w:sz w:val="24"/>
          <w:szCs w:val="24"/>
        </w:rPr>
        <w:t>Judiciary and fundamental rights</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27 </w:t>
      </w:r>
      <w:r>
        <w:rPr>
          <w:rFonts w:ascii="Times New Roman" w:eastAsia="Calibri" w:hAnsi="Times New Roman" w:cs="Times New Roman"/>
          <w:sz w:val="24"/>
          <w:szCs w:val="24"/>
        </w:rPr>
        <w:t xml:space="preserve">(Environment) </w:t>
      </w:r>
      <w:r w:rsidRPr="36BE81E9">
        <w:rPr>
          <w:rFonts w:ascii="Times New Roman" w:eastAsia="Calibri" w:hAnsi="Times New Roman" w:cs="Times New Roman"/>
          <w:sz w:val="24"/>
          <w:szCs w:val="24"/>
        </w:rPr>
        <w:t>and 32</w:t>
      </w:r>
      <w:r>
        <w:rPr>
          <w:rFonts w:ascii="Times New Roman" w:eastAsia="Calibri" w:hAnsi="Times New Roman" w:cs="Times New Roman"/>
          <w:sz w:val="24"/>
          <w:szCs w:val="24"/>
        </w:rPr>
        <w:t xml:space="preserve"> (Financial control)</w:t>
      </w:r>
      <w:r w:rsidR="004702DB">
        <w:rPr>
          <w:rFonts w:ascii="Times New Roman" w:eastAsia="Calibri" w:hAnsi="Times New Roman" w:cs="Times New Roman"/>
          <w:sz w:val="24"/>
          <w:szCs w:val="24"/>
        </w:rPr>
        <w:t xml:space="preserve"> </w:t>
      </w:r>
      <w:r w:rsidR="00942107">
        <w:rPr>
          <w:rFonts w:ascii="Times New Roman" w:eastAsia="Calibri" w:hAnsi="Times New Roman" w:cs="Times New Roman"/>
          <w:sz w:val="24"/>
          <w:szCs w:val="24"/>
        </w:rPr>
        <w:t>, which are distributed in cl</w:t>
      </w:r>
      <w:r w:rsidR="004702DB">
        <w:rPr>
          <w:rFonts w:ascii="Times New Roman" w:eastAsia="Calibri" w:hAnsi="Times New Roman" w:cs="Times New Roman"/>
          <w:sz w:val="24"/>
          <w:szCs w:val="24"/>
        </w:rPr>
        <w:t>usters 1 (Fundamentals), 2 (Internal Market), 3 (Competitiveness and Inclusive Growth), and 5 (Resources, Agriculture and Cohesion)</w:t>
      </w:r>
      <w:r w:rsidRPr="36BE81E9">
        <w:rPr>
          <w:rFonts w:ascii="Times New Roman" w:eastAsia="Calibri" w:hAnsi="Times New Roman" w:cs="Times New Roman"/>
          <w:sz w:val="24"/>
          <w:szCs w:val="24"/>
        </w:rPr>
        <w:t>.</w:t>
      </w:r>
    </w:p>
    <w:p w14:paraId="165ACA98" w14:textId="77777777" w:rsidR="002934F7" w:rsidRPr="00C03C2F" w:rsidRDefault="002934F7" w:rsidP="002934F7">
      <w:pPr>
        <w:spacing w:after="120" w:line="240" w:lineRule="auto"/>
        <w:jc w:val="both"/>
        <w:rPr>
          <w:rFonts w:ascii="Times New Roman" w:eastAsia="Calibri" w:hAnsi="Times New Roman" w:cs="Times New Roman"/>
          <w:sz w:val="24"/>
          <w:szCs w:val="24"/>
        </w:rPr>
      </w:pPr>
      <w:r w:rsidRPr="592E4EBE">
        <w:rPr>
          <w:rFonts w:ascii="Times New Roman" w:eastAsia="Calibri" w:hAnsi="Times New Roman" w:cs="Times New Roman"/>
          <w:sz w:val="24"/>
          <w:szCs w:val="24"/>
        </w:rPr>
        <w:t xml:space="preserve">From the EU policies, the accession chapters </w:t>
      </w:r>
      <w:r>
        <w:rPr>
          <w:rFonts w:ascii="Times New Roman" w:eastAsia="Calibri" w:hAnsi="Times New Roman" w:cs="Times New Roman"/>
          <w:sz w:val="24"/>
          <w:szCs w:val="24"/>
        </w:rPr>
        <w:t>11</w:t>
      </w:r>
      <w:r w:rsidRPr="592E4EB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592E4EBE">
        <w:rPr>
          <w:rFonts w:ascii="Times New Roman" w:eastAsia="Calibri" w:hAnsi="Times New Roman" w:cs="Times New Roman"/>
          <w:sz w:val="24"/>
          <w:szCs w:val="24"/>
        </w:rPr>
        <w:t>agriculture and rural development</w:t>
      </w:r>
      <w:r>
        <w:rPr>
          <w:rFonts w:ascii="Times New Roman" w:eastAsia="Calibri" w:hAnsi="Times New Roman" w:cs="Times New Roman"/>
          <w:sz w:val="24"/>
          <w:szCs w:val="24"/>
        </w:rPr>
        <w:t xml:space="preserve">) and 16 </w:t>
      </w:r>
      <w:r w:rsidRPr="592E4EBE">
        <w:rPr>
          <w:rFonts w:ascii="Times New Roman" w:eastAsia="Calibri" w:hAnsi="Times New Roman" w:cs="Times New Roman"/>
          <w:sz w:val="24"/>
          <w:szCs w:val="24"/>
        </w:rPr>
        <w:t xml:space="preserve">(taxation) are integrally linked to </w:t>
      </w:r>
      <w:r>
        <w:rPr>
          <w:rFonts w:ascii="Times New Roman" w:hAnsi="Times New Roman" w:cs="Times New Roman"/>
          <w:sz w:val="24"/>
          <w:szCs w:val="24"/>
        </w:rPr>
        <w:t xml:space="preserve">cluster 1 (Fundamentals), </w:t>
      </w:r>
      <w:r>
        <w:rPr>
          <w:rFonts w:ascii="Times New Roman" w:eastAsia="Calibri" w:hAnsi="Times New Roman" w:cs="Times New Roman"/>
          <w:sz w:val="24"/>
          <w:szCs w:val="24"/>
        </w:rPr>
        <w:t>which includes chapters 5 (Public Procurement), 18 (Statistics) and 32 (Financial control) as well as “</w:t>
      </w:r>
      <w:r w:rsidRPr="00F1081A">
        <w:rPr>
          <w:rFonts w:ascii="Times New Roman" w:eastAsia="Calibri" w:hAnsi="Times New Roman" w:cs="Times New Roman"/>
          <w:sz w:val="24"/>
          <w:szCs w:val="24"/>
        </w:rPr>
        <w:t>Functioning of democratic institutions</w:t>
      </w:r>
      <w:r>
        <w:rPr>
          <w:rFonts w:ascii="Times New Roman" w:eastAsia="Calibri" w:hAnsi="Times New Roman" w:cs="Times New Roman"/>
          <w:sz w:val="24"/>
          <w:szCs w:val="24"/>
        </w:rPr>
        <w:t>” and “</w:t>
      </w:r>
      <w:r w:rsidRPr="00F1081A">
        <w:rPr>
          <w:rFonts w:ascii="Times New Roman" w:eastAsia="Calibri" w:hAnsi="Times New Roman" w:cs="Times New Roman"/>
          <w:sz w:val="24"/>
          <w:szCs w:val="24"/>
        </w:rPr>
        <w:t>Public administration reform</w:t>
      </w:r>
      <w:r>
        <w:rPr>
          <w:rFonts w:ascii="Times New Roman" w:eastAsia="Calibri" w:hAnsi="Times New Roman" w:cs="Times New Roman"/>
          <w:sz w:val="24"/>
          <w:szCs w:val="24"/>
        </w:rPr>
        <w:t>”</w:t>
      </w:r>
      <w:r w:rsidRPr="00F1081A">
        <w:rPr>
          <w:rFonts w:ascii="Times New Roman" w:eastAsia="Calibri" w:hAnsi="Times New Roman" w:cs="Times New Roman"/>
          <w:sz w:val="24"/>
          <w:szCs w:val="24"/>
        </w:rPr>
        <w:t xml:space="preserve"> </w:t>
      </w:r>
      <w:r w:rsidRPr="592E4EBE">
        <w:rPr>
          <w:rFonts w:ascii="Times New Roman" w:eastAsia="Calibri" w:hAnsi="Times New Roman" w:cs="Times New Roman"/>
          <w:sz w:val="24"/>
          <w:szCs w:val="24"/>
        </w:rPr>
        <w:t>together with chapter 23</w:t>
      </w:r>
      <w:r>
        <w:rPr>
          <w:rFonts w:ascii="Times New Roman" w:eastAsia="Calibri" w:hAnsi="Times New Roman" w:cs="Times New Roman"/>
          <w:sz w:val="24"/>
          <w:szCs w:val="24"/>
        </w:rPr>
        <w:t xml:space="preserve"> (</w:t>
      </w:r>
      <w:r w:rsidRPr="00C226EE">
        <w:rPr>
          <w:rFonts w:ascii="Times New Roman" w:eastAsia="Calibri" w:hAnsi="Times New Roman" w:cs="Times New Roman"/>
          <w:sz w:val="24"/>
          <w:szCs w:val="24"/>
        </w:rPr>
        <w:t>Judiciary and fundamental rights</w:t>
      </w:r>
      <w:r>
        <w:rPr>
          <w:rFonts w:ascii="Times New Roman" w:eastAsia="Calibri" w:hAnsi="Times New Roman" w:cs="Times New Roman"/>
          <w:sz w:val="24"/>
          <w:szCs w:val="24"/>
        </w:rPr>
        <w:t>)</w:t>
      </w:r>
      <w:r w:rsidRPr="592E4EBE">
        <w:rPr>
          <w:rFonts w:ascii="Times New Roman" w:eastAsia="Calibri" w:hAnsi="Times New Roman" w:cs="Times New Roman"/>
          <w:sz w:val="24"/>
          <w:szCs w:val="24"/>
        </w:rPr>
        <w:t>, especially the area on fight against corruption</w:t>
      </w:r>
      <w:r>
        <w:rPr>
          <w:rFonts w:ascii="Times New Roman" w:eastAsia="Calibri" w:hAnsi="Times New Roman" w:cs="Times New Roman"/>
          <w:sz w:val="24"/>
          <w:szCs w:val="24"/>
        </w:rPr>
        <w:t>, which is mainstreamed through all relevant chapters</w:t>
      </w:r>
      <w:r w:rsidRPr="592E4EBE">
        <w:rPr>
          <w:rFonts w:ascii="Times New Roman" w:eastAsia="Calibri" w:hAnsi="Times New Roman" w:cs="Times New Roman"/>
          <w:sz w:val="24"/>
          <w:szCs w:val="24"/>
        </w:rPr>
        <w:t xml:space="preserve">.. IPA III support should in particular help addressing recommendations from the enlargement reports in these areas and support the implementation of the roadmap on the functioning of democratic institutions and public administration reform. </w:t>
      </w:r>
    </w:p>
    <w:p w14:paraId="548E0523" w14:textId="1AC7B0DC"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b/>
          <w:bCs/>
          <w:sz w:val="24"/>
          <w:szCs w:val="24"/>
        </w:rPr>
        <w:t xml:space="preserve">Statistics </w:t>
      </w:r>
      <w:r w:rsidRPr="36BE81E9">
        <w:rPr>
          <w:rFonts w:ascii="Times New Roman" w:eastAsia="Calibri" w:hAnsi="Times New Roman" w:cs="Times New Roman"/>
          <w:sz w:val="24"/>
          <w:szCs w:val="24"/>
        </w:rPr>
        <w:t xml:space="preserve">provide the basis for evidence-based policy development and monitoring and evaluation of implementation of policies. In addition, data should be collected and presented as much as possible disaggregated by sex and reflect gender issues. They are equally important for citizens to scrutinise governments’ performances, the use of public finance and ultimately build their confidence into their institutions. The priority will be to ensure support to IPA III beneficiaries in meeting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requirements under chapter 18</w:t>
      </w:r>
      <w:r>
        <w:rPr>
          <w:rFonts w:ascii="Times New Roman" w:eastAsia="Calibri" w:hAnsi="Times New Roman" w:cs="Times New Roman"/>
          <w:sz w:val="24"/>
          <w:szCs w:val="24"/>
        </w:rPr>
        <w:t xml:space="preserve"> (Statistics)</w:t>
      </w:r>
      <w:r w:rsidRPr="36BE81E9">
        <w:rPr>
          <w:rFonts w:ascii="Times New Roman" w:eastAsia="Calibri" w:hAnsi="Times New Roman" w:cs="Times New Roman"/>
          <w:sz w:val="24"/>
          <w:szCs w:val="24"/>
        </w:rPr>
        <w:t xml:space="preserve"> and to build capacity for administrative data and </w:t>
      </w:r>
      <w:r>
        <w:rPr>
          <w:rFonts w:ascii="Times New Roman" w:eastAsia="Calibri" w:hAnsi="Times New Roman" w:cs="Times New Roman"/>
          <w:sz w:val="24"/>
          <w:szCs w:val="24"/>
        </w:rPr>
        <w:t xml:space="preserve">high quality </w:t>
      </w:r>
      <w:r w:rsidRPr="36BE81E9">
        <w:rPr>
          <w:rFonts w:ascii="Times New Roman" w:eastAsia="Calibri" w:hAnsi="Times New Roman" w:cs="Times New Roman"/>
          <w:sz w:val="24"/>
          <w:szCs w:val="24"/>
        </w:rPr>
        <w:t>statistics production and use in all sectors. Under chapter 18,</w:t>
      </w:r>
      <w:r w:rsidR="004702DB" w:rsidRPr="004702DB">
        <w:rPr>
          <w:rFonts w:ascii="Times New Roman" w:eastAsia="Calibri" w:hAnsi="Times New Roman" w:cs="Times New Roman"/>
          <w:sz w:val="24"/>
          <w:szCs w:val="24"/>
        </w:rPr>
        <w:t xml:space="preserve"> </w:t>
      </w:r>
      <w:r w:rsidR="004702DB">
        <w:rPr>
          <w:rFonts w:ascii="Times New Roman" w:eastAsia="Calibri" w:hAnsi="Times New Roman" w:cs="Times New Roman"/>
          <w:sz w:val="24"/>
          <w:szCs w:val="24"/>
        </w:rPr>
        <w:t xml:space="preserve">included in </w:t>
      </w:r>
      <w:r w:rsidR="00942107">
        <w:rPr>
          <w:rFonts w:ascii="Times New Roman" w:hAnsi="Times New Roman" w:cs="Times New Roman"/>
          <w:sz w:val="24"/>
          <w:szCs w:val="24"/>
        </w:rPr>
        <w:t>cluster 1 (Fundamentals),</w:t>
      </w:r>
      <w:r w:rsidR="004702DB">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the beneficiaries are required to ensure a statistical infrastructure based on principles of impartiality, reliability, transparency, confidentiality and protection of individual data and dissemination of official statistics. The national statistical institutes will be supported to develop the methodology and ensure the production and dissemination of statistical information in various areas such as macro-economic and price statistics, demographic and social statistics, regional statistics, and statistics on business, transport, external trade, agriculture, environment, science and technology. Sex-disaggregated data should be made available where relevant. The line institutions will be supported in building capacity for administrative data and statistics production, storage and use for evidence-based policy-making. </w:t>
      </w:r>
    </w:p>
    <w:p w14:paraId="1AF8C16C" w14:textId="0B0A1F73" w:rsidR="005739B7" w:rsidRPr="005742F9" w:rsidRDefault="005739B7" w:rsidP="005739B7">
      <w:pPr>
        <w:spacing w:after="120" w:line="240" w:lineRule="auto"/>
        <w:jc w:val="both"/>
        <w:rPr>
          <w:rFonts w:ascii="Times New Roman" w:eastAsia="Calibri" w:hAnsi="Times New Roman" w:cs="Times New Roman"/>
          <w:sz w:val="24"/>
          <w:szCs w:val="24"/>
        </w:rPr>
      </w:pPr>
      <w:r w:rsidRPr="592E4EBE">
        <w:rPr>
          <w:rFonts w:ascii="Times New Roman" w:eastAsia="Calibri" w:hAnsi="Times New Roman" w:cs="Times New Roman"/>
          <w:b/>
          <w:bCs/>
          <w:sz w:val="24"/>
          <w:szCs w:val="24"/>
        </w:rPr>
        <w:t>Economic governance</w:t>
      </w:r>
      <w:r w:rsidRPr="592E4EBE">
        <w:rPr>
          <w:rFonts w:ascii="Times New Roman" w:eastAsia="Calibri" w:hAnsi="Times New Roman" w:cs="Times New Roman"/>
          <w:sz w:val="24"/>
          <w:szCs w:val="24"/>
        </w:rPr>
        <w:t xml:space="preserve"> has emerged as one of the key priorities in the EU since the financial crisis and the creation of the European Semester. IPA III beneficiaries face major structural economic challenges, including hig</w:t>
      </w:r>
      <w:r>
        <w:rPr>
          <w:rFonts w:ascii="Times New Roman" w:eastAsia="Calibri" w:hAnsi="Times New Roman" w:cs="Times New Roman"/>
          <w:sz w:val="24"/>
          <w:szCs w:val="24"/>
        </w:rPr>
        <w:t xml:space="preserve">h unemployment, low levels of </w:t>
      </w:r>
      <w:r w:rsidRPr="592E4EBE">
        <w:rPr>
          <w:rFonts w:ascii="Times New Roman" w:eastAsia="Calibri" w:hAnsi="Times New Roman" w:cs="Times New Roman"/>
          <w:sz w:val="24"/>
          <w:szCs w:val="24"/>
        </w:rPr>
        <w:t>foreign direct investments (often concentrated in selected industries), and weak competiveness. Also</w:t>
      </w:r>
      <w:r w:rsidR="00E73D8A">
        <w:rPr>
          <w:rFonts w:ascii="Times New Roman" w:eastAsia="Calibri" w:hAnsi="Times New Roman" w:cs="Times New Roman"/>
          <w:sz w:val="24"/>
          <w:szCs w:val="24"/>
        </w:rPr>
        <w:t>,</w:t>
      </w:r>
      <w:r w:rsidRPr="592E4EBE">
        <w:rPr>
          <w:rFonts w:ascii="Times New Roman" w:eastAsia="Calibri" w:hAnsi="Times New Roman" w:cs="Times New Roman"/>
          <w:sz w:val="24"/>
          <w:szCs w:val="24"/>
        </w:rPr>
        <w:t xml:space="preserve"> weaknesses with the rule of law and public financial management exacerbate the risk of </w:t>
      </w:r>
      <w:r w:rsidR="00400160">
        <w:rPr>
          <w:rFonts w:ascii="Times New Roman" w:eastAsia="Calibri" w:hAnsi="Times New Roman" w:cs="Times New Roman"/>
          <w:sz w:val="24"/>
          <w:szCs w:val="24"/>
        </w:rPr>
        <w:t xml:space="preserve">fraud and </w:t>
      </w:r>
      <w:r w:rsidRPr="592E4EBE">
        <w:rPr>
          <w:rFonts w:ascii="Times New Roman" w:eastAsia="Calibri" w:hAnsi="Times New Roman" w:cs="Times New Roman"/>
          <w:sz w:val="24"/>
          <w:szCs w:val="24"/>
        </w:rPr>
        <w:t>corruption, leading to poor quality of public spending, and negatively affecting investment climate and economic development.</w:t>
      </w:r>
      <w:r>
        <w:rPr>
          <w:rFonts w:ascii="Times New Roman" w:eastAsia="Calibri" w:hAnsi="Times New Roman" w:cs="Times New Roman"/>
          <w:sz w:val="24"/>
          <w:szCs w:val="24"/>
        </w:rPr>
        <w:t xml:space="preserve"> </w:t>
      </w:r>
    </w:p>
    <w:p w14:paraId="542100FC"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IPA III support in this area will contribute to significantly increase levels of investment and growth rates in the enlargement region, by strengthening economic governance, in particular the capacity to maintain macroeconomic</w:t>
      </w:r>
      <w:r>
        <w:rPr>
          <w:rFonts w:ascii="Times New Roman" w:eastAsia="Calibri" w:hAnsi="Times New Roman" w:cs="Times New Roman"/>
          <w:sz w:val="24"/>
          <w:szCs w:val="24"/>
        </w:rPr>
        <w:t xml:space="preserve"> and financial</w:t>
      </w:r>
      <w:r w:rsidRPr="36BE81E9">
        <w:rPr>
          <w:rFonts w:ascii="Times New Roman" w:eastAsia="Calibri" w:hAnsi="Times New Roman" w:cs="Times New Roman"/>
          <w:sz w:val="24"/>
          <w:szCs w:val="24"/>
        </w:rPr>
        <w:t xml:space="preserve"> stability, and to pursue growth-enhancing public investments and structural reforms.</w:t>
      </w:r>
    </w:p>
    <w:p w14:paraId="112F9898" w14:textId="07CC7B26"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As of 2015, </w:t>
      </w:r>
      <w:r w:rsidR="00224FA1">
        <w:rPr>
          <w:rFonts w:ascii="Times New Roman" w:eastAsia="Calibri" w:hAnsi="Times New Roman" w:cs="Times New Roman"/>
          <w:sz w:val="24"/>
          <w:szCs w:val="24"/>
        </w:rPr>
        <w:t xml:space="preserve">the beneficiaries submit, on an annual basis, </w:t>
      </w:r>
      <w:r w:rsidRPr="36BE81E9">
        <w:rPr>
          <w:rFonts w:ascii="Times New Roman" w:eastAsia="Calibri" w:hAnsi="Times New Roman" w:cs="Times New Roman"/>
          <w:sz w:val="24"/>
          <w:szCs w:val="24"/>
        </w:rPr>
        <w:t xml:space="preserve">medium-term Economic Reform Programmes (ERP) to the European Commission. The ERPs include a macroeconomic and fiscal policy framework as well as structural reform plans to boost competitiveness and long-term growth. The ERP process aims at helping beneficiaries to develop their institutional and analytical capacities and to prepare them for eventual participation in the EU’s multilateral surveillance and economic policy coordination procedures. Therefore, they prepare the beneficiaries for the design and </w:t>
      </w:r>
      <w:r w:rsidR="00224FA1">
        <w:rPr>
          <w:rFonts w:ascii="Times New Roman" w:eastAsia="Calibri" w:hAnsi="Times New Roman" w:cs="Times New Roman"/>
          <w:sz w:val="24"/>
          <w:szCs w:val="24"/>
        </w:rPr>
        <w:t xml:space="preserve">the </w:t>
      </w:r>
      <w:r w:rsidRPr="36BE81E9">
        <w:rPr>
          <w:rFonts w:ascii="Times New Roman" w:eastAsia="Calibri" w:hAnsi="Times New Roman" w:cs="Times New Roman"/>
          <w:sz w:val="24"/>
          <w:szCs w:val="24"/>
        </w:rPr>
        <w:t xml:space="preserve">implementation of key policies to address structural weaknesses and fiscal imbalances in </w:t>
      </w:r>
      <w:r>
        <w:rPr>
          <w:rFonts w:ascii="Times New Roman" w:eastAsia="Calibri" w:hAnsi="Times New Roman" w:cs="Times New Roman"/>
          <w:sz w:val="24"/>
          <w:szCs w:val="24"/>
        </w:rPr>
        <w:t>view</w:t>
      </w:r>
      <w:r w:rsidRPr="36BE81E9">
        <w:rPr>
          <w:rFonts w:ascii="Times New Roman" w:eastAsia="Calibri" w:hAnsi="Times New Roman" w:cs="Times New Roman"/>
          <w:sz w:val="24"/>
          <w:szCs w:val="24"/>
        </w:rPr>
        <w:t xml:space="preserve"> of their future participation in the EU’s economic policy coordination procedures. </w:t>
      </w:r>
    </w:p>
    <w:p w14:paraId="69FDB8E9" w14:textId="068CF288"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IPA III will give priority to supporting the continuous improvement of the Economic Reform Programme (ERP) process</w:t>
      </w:r>
      <w:r w:rsidR="00EB3F83">
        <w:rPr>
          <w:rFonts w:ascii="Times New Roman" w:eastAsia="Calibri" w:hAnsi="Times New Roman" w:cs="Times New Roman"/>
          <w:sz w:val="24"/>
          <w:szCs w:val="24"/>
        </w:rPr>
        <w:t xml:space="preserve"> and the implementation of the ERPs</w:t>
      </w:r>
      <w:r w:rsidRPr="36BE81E9">
        <w:rPr>
          <w:rFonts w:ascii="Times New Roman" w:eastAsia="Calibri" w:hAnsi="Times New Roman" w:cs="Times New Roman"/>
          <w:sz w:val="24"/>
          <w:szCs w:val="24"/>
        </w:rPr>
        <w:t xml:space="preserve">, by focusing on: </w:t>
      </w:r>
    </w:p>
    <w:p w14:paraId="45ABBD9A"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a) enhancing the institutional capacity for medium term economic planning (analysis, design and implementation of economic policies in general and structural reforms to boost competitiveness in particular); </w:t>
      </w:r>
    </w:p>
    <w:p w14:paraId="6895998E"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b) improving the ownership of the process in the IPA III beneficiaries, as well as important economic governance aspects, such as inter-ministerial coordination, budgeting of structural reforms and public consultations.</w:t>
      </w:r>
    </w:p>
    <w:p w14:paraId="4E30C9E8" w14:textId="4A9D0944"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Support to structural reforms and related investments </w:t>
      </w:r>
      <w:r>
        <w:rPr>
          <w:rFonts w:ascii="Times New Roman" w:eastAsia="Calibri" w:hAnsi="Times New Roman" w:cs="Times New Roman"/>
          <w:sz w:val="24"/>
          <w:szCs w:val="24"/>
        </w:rPr>
        <w:t>envisaged</w:t>
      </w:r>
      <w:r w:rsidRPr="36BE81E9">
        <w:rPr>
          <w:rFonts w:ascii="Times New Roman" w:eastAsia="Calibri" w:hAnsi="Times New Roman" w:cs="Times New Roman"/>
          <w:sz w:val="24"/>
          <w:szCs w:val="24"/>
        </w:rPr>
        <w:t xml:space="preserve"> in the Economic Reform Programmes will be mainly covered under </w:t>
      </w:r>
      <w:r w:rsidR="00224FA1">
        <w:rPr>
          <w:rFonts w:ascii="Times New Roman" w:eastAsia="Calibri" w:hAnsi="Times New Roman" w:cs="Times New Roman"/>
          <w:sz w:val="24"/>
          <w:szCs w:val="24"/>
        </w:rPr>
        <w:t>w</w:t>
      </w:r>
      <w:r w:rsidRPr="36BE81E9">
        <w:rPr>
          <w:rFonts w:ascii="Times New Roman" w:eastAsia="Calibri" w:hAnsi="Times New Roman" w:cs="Times New Roman"/>
          <w:sz w:val="24"/>
          <w:szCs w:val="24"/>
        </w:rPr>
        <w:t>indows 3 and 4. Under this window</w:t>
      </w:r>
      <w:r w:rsidR="00224FA1">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support will focus on further improvement of institutions involved in the annual ERP process. The main concerned chapter of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 xml:space="preserve">acquis </w:t>
      </w:r>
      <w:r w:rsidRPr="36BE81E9">
        <w:rPr>
          <w:rFonts w:ascii="Times New Roman" w:eastAsia="Calibri" w:hAnsi="Times New Roman" w:cs="Times New Roman"/>
          <w:sz w:val="24"/>
          <w:szCs w:val="24"/>
        </w:rPr>
        <w:t>under this section is chapter 17,</w:t>
      </w:r>
      <w:r w:rsidR="00AF2CC3">
        <w:rPr>
          <w:rFonts w:ascii="Times New Roman" w:eastAsia="Calibri" w:hAnsi="Times New Roman" w:cs="Times New Roman"/>
          <w:sz w:val="24"/>
          <w:szCs w:val="24"/>
        </w:rPr>
        <w:t xml:space="preserve"> which is part</w:t>
      </w:r>
      <w:r w:rsidR="00942107">
        <w:rPr>
          <w:rFonts w:ascii="Times New Roman" w:eastAsia="Calibri" w:hAnsi="Times New Roman" w:cs="Times New Roman"/>
          <w:sz w:val="24"/>
          <w:szCs w:val="24"/>
        </w:rPr>
        <w:t xml:space="preserve"> of cluster 3</w:t>
      </w:r>
      <w:r w:rsidR="00AF2CC3">
        <w:rPr>
          <w:rFonts w:ascii="Times New Roman" w:eastAsia="Calibri" w:hAnsi="Times New Roman" w:cs="Times New Roman"/>
          <w:sz w:val="24"/>
          <w:szCs w:val="24"/>
        </w:rPr>
        <w:t xml:space="preserve"> </w:t>
      </w:r>
      <w:r w:rsidR="00942107">
        <w:rPr>
          <w:rFonts w:ascii="Times New Roman" w:eastAsia="Calibri" w:hAnsi="Times New Roman" w:cs="Times New Roman"/>
          <w:sz w:val="24"/>
          <w:szCs w:val="24"/>
        </w:rPr>
        <w:t>(</w:t>
      </w:r>
      <w:r w:rsidR="00AF2CC3">
        <w:rPr>
          <w:rFonts w:ascii="Times New Roman" w:eastAsia="Calibri" w:hAnsi="Times New Roman" w:cs="Times New Roman"/>
          <w:sz w:val="24"/>
          <w:szCs w:val="24"/>
        </w:rPr>
        <w:t>Competitiveness and Inclusive Growth</w:t>
      </w:r>
      <w:r w:rsidR="00942107">
        <w:rPr>
          <w:rFonts w:ascii="Times New Roman" w:eastAsia="Calibri" w:hAnsi="Times New Roman" w:cs="Times New Roman"/>
          <w:sz w:val="24"/>
          <w:szCs w:val="24"/>
        </w:rPr>
        <w:t>)</w:t>
      </w:r>
      <w:r w:rsidR="00AF2CC3">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but chapters relevant for the internal market will also be taken into account (chapters from 1 to 10). </w:t>
      </w:r>
    </w:p>
    <w:p w14:paraId="40BEA3A5"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 xml:space="preserve">Thematic Priority 2: Administrative capacity and </w:t>
      </w:r>
      <w:r>
        <w:rPr>
          <w:rFonts w:ascii="Times New Roman" w:hAnsi="Times New Roman" w:cs="Times New Roman"/>
          <w:i/>
          <w:iCs/>
          <w:sz w:val="24"/>
          <w:szCs w:val="24"/>
        </w:rPr>
        <w:t xml:space="preserve">EU </w:t>
      </w:r>
      <w:r w:rsidRPr="36BE81E9">
        <w:rPr>
          <w:rFonts w:ascii="Times New Roman" w:hAnsi="Times New Roman" w:cs="Times New Roman"/>
          <w:i/>
          <w:iCs/>
          <w:sz w:val="24"/>
          <w:szCs w:val="24"/>
        </w:rPr>
        <w:t>acquis alignment</w:t>
      </w:r>
    </w:p>
    <w:p w14:paraId="6C98CD07"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specific objective of IPA III in this area is to bring beneficiaries’ policies and legislation in line with the EU policies and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and to build administrative capacity to fully and effectively implement sector policies and the adopted legislation, building the ability of beneficiaries to take on the obligations of membership</w:t>
      </w:r>
      <w:r>
        <w:rPr>
          <w:rFonts w:ascii="Times New Roman" w:eastAsia="Calibri" w:hAnsi="Times New Roman" w:cs="Times New Roman"/>
          <w:sz w:val="24"/>
          <w:szCs w:val="24"/>
        </w:rPr>
        <w:t xml:space="preserve"> as well as the digitalisation efforts</w:t>
      </w:r>
      <w:r w:rsidRPr="36BE81E9">
        <w:rPr>
          <w:rFonts w:ascii="Times New Roman" w:eastAsia="Calibri" w:hAnsi="Times New Roman" w:cs="Times New Roman"/>
          <w:sz w:val="24"/>
          <w:szCs w:val="24"/>
        </w:rPr>
        <w:t>. This objective constitutes a crosscutting priority and complements administrative capacity building under other Windows in line with the sector approach.</w:t>
      </w:r>
    </w:p>
    <w:p w14:paraId="3CFE6873" w14:textId="3F08BAE4"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Effective administrative and institutional capacity does not only require legal expertise for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alignment, setting up specific sector institutions required by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and ensuring staff to implement new policies and legislation. It also requires that sector institutions operate under the same standards, rules and procedures that the governments have either already adopted or are committed to adopt under ongoing public administration reform efforts</w:t>
      </w:r>
      <w:r w:rsidR="00716AF7">
        <w:rPr>
          <w:rFonts w:ascii="Times New Roman" w:eastAsia="Calibri" w:hAnsi="Times New Roman" w:cs="Times New Roman"/>
          <w:sz w:val="24"/>
          <w:szCs w:val="24"/>
        </w:rPr>
        <w:t>.</w:t>
      </w:r>
    </w:p>
    <w:p w14:paraId="06F9D4A1" w14:textId="057952D8"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Priority will be given to those proposed actions that build on public administration reform </w:t>
      </w:r>
      <w:r>
        <w:rPr>
          <w:rFonts w:ascii="Times New Roman" w:eastAsia="Calibri" w:hAnsi="Times New Roman" w:cs="Times New Roman"/>
          <w:sz w:val="24"/>
          <w:szCs w:val="24"/>
        </w:rPr>
        <w:t xml:space="preserve">and digitalisation </w:t>
      </w:r>
      <w:r w:rsidRPr="36BE81E9">
        <w:rPr>
          <w:rFonts w:ascii="Times New Roman" w:eastAsia="Calibri" w:hAnsi="Times New Roman" w:cs="Times New Roman"/>
          <w:sz w:val="24"/>
          <w:szCs w:val="24"/>
        </w:rPr>
        <w:t>efforts</w:t>
      </w:r>
      <w:r w:rsidR="00060B96">
        <w:rPr>
          <w:rFonts w:ascii="Times New Roman" w:eastAsia="Calibri" w:hAnsi="Times New Roman" w:cs="Times New Roman"/>
          <w:sz w:val="24"/>
          <w:szCs w:val="24"/>
        </w:rPr>
        <w:t xml:space="preserve">. </w:t>
      </w:r>
      <w:r w:rsidR="00060B96" w:rsidRPr="00060B96">
        <w:rPr>
          <w:rFonts w:ascii="Times New Roman" w:eastAsia="Calibri" w:hAnsi="Times New Roman" w:cs="Times New Roman"/>
          <w:sz w:val="24"/>
          <w:szCs w:val="24"/>
        </w:rPr>
        <w:t>Digitalisation is changing the world of work both in terms of how it functions and its impact on workers</w:t>
      </w:r>
      <w:r w:rsidR="00326338">
        <w:rPr>
          <w:rFonts w:ascii="Times New Roman" w:eastAsia="Calibri" w:hAnsi="Times New Roman" w:cs="Times New Roman"/>
          <w:sz w:val="24"/>
          <w:szCs w:val="24"/>
        </w:rPr>
        <w:t>. Therefore,</w:t>
      </w:r>
      <w:r w:rsidR="00060B96" w:rsidRPr="00060B96">
        <w:rPr>
          <w:rFonts w:ascii="Times New Roman" w:eastAsia="Calibri" w:hAnsi="Times New Roman" w:cs="Times New Roman"/>
          <w:sz w:val="24"/>
          <w:szCs w:val="24"/>
        </w:rPr>
        <w:t xml:space="preserve"> beneficiaries need to </w:t>
      </w:r>
      <w:r w:rsidRPr="36BE81E9">
        <w:rPr>
          <w:rFonts w:ascii="Times New Roman" w:eastAsia="Calibri" w:hAnsi="Times New Roman" w:cs="Times New Roman"/>
          <w:sz w:val="24"/>
          <w:szCs w:val="24"/>
        </w:rPr>
        <w:t xml:space="preserve">realistically assess the administrative </w:t>
      </w:r>
      <w:r w:rsidR="00A72941">
        <w:rPr>
          <w:rFonts w:ascii="Times New Roman" w:eastAsia="Calibri" w:hAnsi="Times New Roman" w:cs="Times New Roman"/>
          <w:sz w:val="24"/>
          <w:szCs w:val="24"/>
        </w:rPr>
        <w:t xml:space="preserve">capacity needs at sector level. Such needs </w:t>
      </w:r>
      <w:r w:rsidRPr="36BE81E9">
        <w:rPr>
          <w:rFonts w:ascii="Times New Roman" w:eastAsia="Calibri" w:hAnsi="Times New Roman" w:cs="Times New Roman"/>
          <w:sz w:val="24"/>
          <w:szCs w:val="24"/>
        </w:rPr>
        <w:t>includ</w:t>
      </w:r>
      <w:r w:rsidR="00A72941">
        <w:rPr>
          <w:rFonts w:ascii="Times New Roman" w:eastAsia="Calibri" w:hAnsi="Times New Roman" w:cs="Times New Roman"/>
          <w:sz w:val="24"/>
          <w:szCs w:val="24"/>
        </w:rPr>
        <w:t>e sector specific</w:t>
      </w:r>
      <w:r w:rsidRPr="36BE81E9">
        <w:rPr>
          <w:rFonts w:ascii="Times New Roman" w:eastAsia="Calibri" w:hAnsi="Times New Roman" w:cs="Times New Roman"/>
          <w:sz w:val="24"/>
          <w:szCs w:val="24"/>
        </w:rPr>
        <w:t xml:space="preserve"> administrative data and statistics production; strategic planning, monitoring and reporting; inclusive and evidence-based policy and legislative development; institutional capacity building in terms of appropriate accountability arrangements (supervision/reporting); human resources management, including delegation of decision-making, respect to merit principle in recruitments and dismissals and professional development; </w:t>
      </w:r>
      <w:r>
        <w:rPr>
          <w:rFonts w:ascii="Times New Roman" w:eastAsia="Calibri" w:hAnsi="Times New Roman" w:cs="Times New Roman"/>
          <w:sz w:val="24"/>
          <w:szCs w:val="24"/>
        </w:rPr>
        <w:t xml:space="preserve">service design; </w:t>
      </w:r>
      <w:r w:rsidRPr="36BE81E9">
        <w:rPr>
          <w:rFonts w:ascii="Times New Roman" w:eastAsia="Calibri" w:hAnsi="Times New Roman" w:cs="Times New Roman"/>
          <w:sz w:val="24"/>
          <w:szCs w:val="24"/>
        </w:rPr>
        <w:t xml:space="preserve">and public investment management, where relevant. The support to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alignment will systematically focus on the underlying capacities to use evidence and ensure engagement of stakeholders.</w:t>
      </w:r>
    </w:p>
    <w:p w14:paraId="395ED797" w14:textId="77777777" w:rsidR="005739B7"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beneficiaries may propose, at the time of project selection, to address these various aspects of administrative capacity at sector level, for example with additional support from an EU Integration Facility should it not be feasible to integrate such activities in broader sector reform interventions. The facility could also be strategically used to address the broader mechanisms that foster institutional learning and capacity building. TAIEX actions may provide the complementary short-term assistance. </w:t>
      </w:r>
    </w:p>
    <w:p w14:paraId="0681910E" w14:textId="31D12C5D" w:rsidR="005739B7" w:rsidRDefault="005739B7" w:rsidP="005739B7">
      <w:pPr>
        <w:spacing w:after="120" w:line="240" w:lineRule="auto"/>
        <w:jc w:val="both"/>
        <w:rPr>
          <w:rFonts w:ascii="Times New Roman" w:eastAsia="Calibri" w:hAnsi="Times New Roman" w:cs="Times New Roman"/>
          <w:sz w:val="24"/>
          <w:szCs w:val="24"/>
        </w:rPr>
      </w:pPr>
      <w:r w:rsidRPr="008E57F7">
        <w:rPr>
          <w:rFonts w:ascii="Times New Roman" w:eastAsia="Calibri" w:hAnsi="Times New Roman" w:cs="Times New Roman"/>
          <w:sz w:val="24"/>
          <w:szCs w:val="24"/>
        </w:rPr>
        <w:t>Doing so would help future management and control systems better capture synergies within their programmes and across policy and/or priority axes, create more integrated investment processes, optimise programme implementation processes throughout the investment cycle, and eventually enhance investment impact.</w:t>
      </w:r>
    </w:p>
    <w:p w14:paraId="409FAB8D" w14:textId="3A876773" w:rsidR="00E3147E" w:rsidRPr="005742F9" w:rsidRDefault="00E3147E" w:rsidP="005739B7">
      <w:pPr>
        <w:spacing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Financing will also be provided to co-finance participation to </w:t>
      </w:r>
      <w:r w:rsidRPr="00A50A83">
        <w:rPr>
          <w:rFonts w:ascii="Times New Roman" w:hAnsi="Times New Roman" w:cs="Times New Roman"/>
          <w:b/>
          <w:sz w:val="24"/>
          <w:szCs w:val="24"/>
        </w:rPr>
        <w:t>EU agencies</w:t>
      </w:r>
      <w:r>
        <w:rPr>
          <w:rFonts w:ascii="Times New Roman" w:hAnsi="Times New Roman" w:cs="Times New Roman"/>
          <w:sz w:val="24"/>
          <w:szCs w:val="24"/>
        </w:rPr>
        <w:t xml:space="preserve"> as well as entry tickets for participation to </w:t>
      </w:r>
      <w:r w:rsidRPr="00A50A83">
        <w:rPr>
          <w:rFonts w:ascii="Times New Roman" w:hAnsi="Times New Roman" w:cs="Times New Roman"/>
          <w:b/>
          <w:sz w:val="24"/>
          <w:szCs w:val="24"/>
        </w:rPr>
        <w:t>EU Programmes</w:t>
      </w:r>
      <w:r>
        <w:rPr>
          <w:rFonts w:ascii="Times New Roman" w:hAnsi="Times New Roman" w:cs="Times New Roman"/>
          <w:sz w:val="24"/>
          <w:szCs w:val="24"/>
        </w:rPr>
        <w:t>.</w:t>
      </w:r>
    </w:p>
    <w:p w14:paraId="33A6675B"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3: Good neighbourly relations and reconciliation</w:t>
      </w:r>
    </w:p>
    <w:p w14:paraId="11D7DA6A"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Good neighbourly relations and reconciliation are intrinsically linked to rule of law, economic governance and regional </w:t>
      </w:r>
      <w:r>
        <w:rPr>
          <w:rFonts w:ascii="Times New Roman" w:eastAsia="Calibri" w:hAnsi="Times New Roman" w:cs="Times New Roman"/>
          <w:sz w:val="24"/>
          <w:szCs w:val="24"/>
        </w:rPr>
        <w:t>cooperation</w:t>
      </w:r>
      <w:r w:rsidRPr="36BE81E9">
        <w:rPr>
          <w:rFonts w:ascii="Times New Roman" w:eastAsia="Calibri" w:hAnsi="Times New Roman" w:cs="Times New Roman"/>
          <w:sz w:val="24"/>
          <w:szCs w:val="24"/>
        </w:rPr>
        <w:t xml:space="preserve">. The specific objective of IPA III in this area is to contribute to societal cohesion and resilience by addressing the legacy of the conflicts of the past and bringing justice to all victims of the conflicts. Likewise, improving good neighbourly relations fosters citizens’ confidence and contributes to removing impediments to political, economic and social exchanges and co-operation. </w:t>
      </w:r>
    </w:p>
    <w:p w14:paraId="20E2CB8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In light of this, and in full complementarity with the other windows, IPA III will give priority to actions that contribute to confidence building, societal cohesion and strengthening neighbourly relations, especially: </w:t>
      </w:r>
    </w:p>
    <w:p w14:paraId="37A5FA24" w14:textId="77777777" w:rsidR="005739B7" w:rsidRPr="005742F9" w:rsidRDefault="005739B7" w:rsidP="005739B7">
      <w:pPr>
        <w:numPr>
          <w:ilvl w:val="0"/>
          <w:numId w:val="8"/>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combating impunity for serious international crimes, including through strong regional co-operation, and effective domestic prosecutions; </w:t>
      </w:r>
    </w:p>
    <w:p w14:paraId="757A0E97" w14:textId="77777777" w:rsidR="005739B7" w:rsidRPr="005742F9" w:rsidRDefault="005739B7" w:rsidP="005739B7">
      <w:pPr>
        <w:numPr>
          <w:ilvl w:val="0"/>
          <w:numId w:val="8"/>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promoting victims’ rights;</w:t>
      </w:r>
    </w:p>
    <w:p w14:paraId="668EBD0D" w14:textId="77777777" w:rsidR="005739B7" w:rsidRPr="005742F9" w:rsidRDefault="005739B7" w:rsidP="005739B7">
      <w:pPr>
        <w:numPr>
          <w:ilvl w:val="0"/>
          <w:numId w:val="8"/>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promoting increased political and policy dialogue at political and technical levels and mediation efforts to address outstanding legacy issues; promoting education and </w:t>
      </w:r>
      <w:r>
        <w:rPr>
          <w:rFonts w:ascii="Times New Roman" w:eastAsia="Calibri" w:hAnsi="Times New Roman" w:cs="Times New Roman"/>
          <w:sz w:val="24"/>
          <w:szCs w:val="24"/>
        </w:rPr>
        <w:t>youth</w:t>
      </w:r>
      <w:r w:rsidRPr="36BE81E9">
        <w:rPr>
          <w:rFonts w:ascii="Times New Roman" w:eastAsia="Calibri" w:hAnsi="Times New Roman" w:cs="Times New Roman"/>
          <w:sz w:val="24"/>
          <w:szCs w:val="24"/>
        </w:rPr>
        <w:t>, including inter-cultural dialogue, as vectors for social cohesion and peaceful relations as well as drivers of sustainable socio-economic development;</w:t>
      </w:r>
    </w:p>
    <w:p w14:paraId="0CF781DA" w14:textId="77777777" w:rsidR="005739B7" w:rsidRPr="006E4BBF" w:rsidRDefault="005739B7" w:rsidP="005739B7">
      <w:pPr>
        <w:numPr>
          <w:ilvl w:val="0"/>
          <w:numId w:val="8"/>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developing local and people-to-people exchanges in various areas, including economic and environmental cooperation, good governance and justice, media, social inclusion, human rights, gender equality, children rights, youth, social services, minorities. </w:t>
      </w:r>
    </w:p>
    <w:p w14:paraId="0E3D51C7" w14:textId="77777777" w:rsidR="005739B7" w:rsidRPr="005742F9" w:rsidRDefault="005739B7" w:rsidP="005739B7">
      <w:pPr>
        <w:spacing w:after="120" w:line="240" w:lineRule="auto"/>
        <w:jc w:val="both"/>
        <w:rPr>
          <w:rFonts w:ascii="Times New Roman" w:hAnsi="Times New Roman" w:cs="Times New Roman"/>
          <w:sz w:val="24"/>
          <w:szCs w:val="24"/>
        </w:rPr>
      </w:pPr>
      <w:r w:rsidRPr="00903C50">
        <w:rPr>
          <w:rFonts w:ascii="Times New Roman" w:hAnsi="Times New Roman" w:cs="Times New Roman"/>
          <w:sz w:val="24"/>
          <w:szCs w:val="24"/>
        </w:rPr>
        <w:t>In the field of culture, the effective implementation of the UNESCO convention on the protection and promotion of the Diversity of Cultural Expression should also be ensured.</w:t>
      </w:r>
    </w:p>
    <w:p w14:paraId="61770101"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4: Strategic communication, monitoring, evaluation and communication activities</w:t>
      </w:r>
    </w:p>
    <w:p w14:paraId="2D6E68AB"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specific objective of IPA III support in this area is to ensure public support for the EU values, policies and to necessary reforms entailed by the accession process by explaining </w:t>
      </w:r>
    </w:p>
    <w:p w14:paraId="7FB231C6" w14:textId="77777777" w:rsidR="005739B7" w:rsidRPr="005742F9" w:rsidRDefault="005739B7" w:rsidP="005739B7">
      <w:pPr>
        <w:numPr>
          <w:ilvl w:val="0"/>
          <w:numId w:val="16"/>
        </w:num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How the EU and the EU accession process work and </w:t>
      </w:r>
    </w:p>
    <w:p w14:paraId="722C67F8" w14:textId="59DCCC17" w:rsidR="005739B7" w:rsidRPr="005742F9" w:rsidRDefault="005739B7" w:rsidP="005739B7">
      <w:pPr>
        <w:numPr>
          <w:ilvl w:val="0"/>
          <w:numId w:val="16"/>
        </w:num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What the benefits and implications of the process are for citizens</w:t>
      </w:r>
      <w:r w:rsidR="00AF2CC3">
        <w:rPr>
          <w:rFonts w:ascii="Times New Roman" w:eastAsia="Calibri" w:hAnsi="Times New Roman" w:cs="Times New Roman"/>
          <w:sz w:val="24"/>
          <w:szCs w:val="24"/>
        </w:rPr>
        <w:t xml:space="preserve"> of</w:t>
      </w:r>
      <w:r w:rsidR="00DA4C1D">
        <w:rPr>
          <w:rFonts w:ascii="Times New Roman" w:eastAsia="Calibri" w:hAnsi="Times New Roman" w:cs="Times New Roman"/>
          <w:sz w:val="24"/>
          <w:szCs w:val="24"/>
        </w:rPr>
        <w:t xml:space="preserve"> </w:t>
      </w:r>
      <w:r w:rsidRPr="36BE81E9">
        <w:rPr>
          <w:rFonts w:ascii="Times New Roman" w:eastAsia="Calibri" w:hAnsi="Times New Roman" w:cs="Times New Roman"/>
          <w:sz w:val="24"/>
          <w:szCs w:val="24"/>
        </w:rPr>
        <w:t xml:space="preserve">candidate countries and potential candidates </w:t>
      </w:r>
      <w:r w:rsidR="00AF2CC3">
        <w:rPr>
          <w:rFonts w:ascii="Times New Roman" w:eastAsia="Calibri" w:hAnsi="Times New Roman" w:cs="Times New Roman"/>
          <w:sz w:val="24"/>
          <w:szCs w:val="24"/>
        </w:rPr>
        <w:t>as well as for</w:t>
      </w:r>
      <w:r w:rsidRPr="36BE81E9">
        <w:rPr>
          <w:rFonts w:ascii="Times New Roman" w:eastAsia="Calibri" w:hAnsi="Times New Roman" w:cs="Times New Roman"/>
          <w:sz w:val="24"/>
          <w:szCs w:val="24"/>
        </w:rPr>
        <w:t xml:space="preserve"> the EU Member States.</w:t>
      </w:r>
    </w:p>
    <w:p w14:paraId="2C9D9CCA"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Raising awareness and having well informed citizens will contribute to increased support and understanding for the benefits of the accession process and EU membership and for the necessary reforms, effectively addressing disinformation and counter opposing narratives by other actors in the region. This requires a joint effort of the EU and its Member States, and in particular of the beneficiaries’ governments and civil society. To achieve this, communication should be based on a strategic approach identifying the main objectives, target groups (e.g. general public, stakeholders, media, and youth), key messages, appropriate communication channels and monitoring of its impact. Activities can cover different layers of information about the EU, which are complementary to one another: </w:t>
      </w:r>
    </w:p>
    <w:p w14:paraId="3594C96D" w14:textId="77777777" w:rsidR="005739B7" w:rsidRPr="005742F9" w:rsidRDefault="005739B7" w:rsidP="005739B7">
      <w:pPr>
        <w:numPr>
          <w:ilvl w:val="0"/>
          <w:numId w:val="7"/>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EU values, policies and programmes and their impact on people's everyday life;</w:t>
      </w:r>
    </w:p>
    <w:p w14:paraId="28001E7C" w14:textId="11D1071B" w:rsidR="005739B7" w:rsidRDefault="005739B7" w:rsidP="005739B7">
      <w:pPr>
        <w:numPr>
          <w:ilvl w:val="0"/>
          <w:numId w:val="7"/>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EU accession process with the accompanying socio-economic transformation and its long-term benefits and opportunities for citizens and economies, with a focus on human stories/success stories;</w:t>
      </w:r>
    </w:p>
    <w:p w14:paraId="1B0A5441" w14:textId="3AF504F5" w:rsidR="00AF2CC3" w:rsidRPr="005742F9" w:rsidRDefault="00AF2CC3" w:rsidP="00AF2CC3">
      <w:pPr>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necessary reforms that are required in order to progress in the EU accession process;</w:t>
      </w:r>
    </w:p>
    <w:p w14:paraId="279E4441" w14:textId="77777777" w:rsidR="005739B7" w:rsidRPr="005742F9" w:rsidRDefault="005739B7" w:rsidP="005739B7">
      <w:pPr>
        <w:numPr>
          <w:ilvl w:val="0"/>
          <w:numId w:val="7"/>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EU funding provided in the IPA III region and its correlation with the EU values and policy objectives, with a focus on tangible positive impact of EU funded projects on citizens and economies.</w:t>
      </w:r>
    </w:p>
    <w:p w14:paraId="7DAD36D8"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 general, communication on enlargement policy should be, as much as possible, sector-specific</w:t>
      </w:r>
      <w:r w:rsidRPr="36BE81E9">
        <w:rPr>
          <w:rFonts w:ascii="Times New Roman" w:hAnsi="Times New Roman" w:cs="Times New Roman"/>
          <w:b/>
          <w:bCs/>
          <w:sz w:val="24"/>
          <w:szCs w:val="24"/>
        </w:rPr>
        <w:t xml:space="preserve"> </w:t>
      </w:r>
      <w:r w:rsidRPr="36BE81E9">
        <w:rPr>
          <w:rFonts w:ascii="Times New Roman" w:hAnsi="Times New Roman" w:cs="Times New Roman"/>
          <w:sz w:val="24"/>
          <w:szCs w:val="24"/>
        </w:rPr>
        <w:t xml:space="preserve">(e.g. EU4environment; EU4youth; EU4civil society, etc.), based on clear EU branding and a harmonised campaign approach. It should taking into account the main concerns of the population as shown by opinion polls (e.g. unemployment, corruption) and the thematic priorities set at beneficiaries/regional level and systematically ensuring visibility of the EU. Appropriate funding needs to be allocated for evaluation (ex-ante and ex-post) of communication activities. </w:t>
      </w:r>
    </w:p>
    <w:p w14:paraId="791DF660"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Communication will be done as far as possible in local languages, identifying the best channels per each beneficiary and, where necessary, adapting the message to the local context. Working with young people and local multipliers should be the priority, formulating messages bottom-up rather than top-down.</w:t>
      </w:r>
    </w:p>
    <w:p w14:paraId="0D81AF19" w14:textId="0BA6E944"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On the EU side, it is incumbent upon </w:t>
      </w:r>
      <w:r w:rsidR="005333A5">
        <w:rPr>
          <w:rFonts w:ascii="Times New Roman" w:hAnsi="Times New Roman" w:cs="Times New Roman"/>
          <w:sz w:val="24"/>
          <w:szCs w:val="24"/>
        </w:rPr>
        <w:t xml:space="preserve">EU </w:t>
      </w:r>
      <w:r w:rsidRPr="36BE81E9">
        <w:rPr>
          <w:rFonts w:ascii="Times New Roman" w:hAnsi="Times New Roman" w:cs="Times New Roman"/>
          <w:sz w:val="24"/>
          <w:szCs w:val="24"/>
        </w:rPr>
        <w:t>Member States to inform their citizens and provide them with the facts about the opportunities and challenges of the process. The Commission will support these endeavours by stepping up its strategic communication in the region and in the Union.</w:t>
      </w:r>
    </w:p>
    <w:p w14:paraId="1E7F9E8E" w14:textId="4BE73856" w:rsidR="00370C6C"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Financing will also be provided for </w:t>
      </w:r>
      <w:r w:rsidRPr="36BE81E9">
        <w:rPr>
          <w:rFonts w:ascii="Times New Roman" w:hAnsi="Times New Roman" w:cs="Times New Roman"/>
          <w:b/>
          <w:bCs/>
          <w:sz w:val="24"/>
          <w:szCs w:val="24"/>
        </w:rPr>
        <w:t>support measures for the implementation, monitoring, audit and evaluation of IPA III programmes</w:t>
      </w:r>
      <w:r w:rsidRPr="36BE81E9">
        <w:rPr>
          <w:rFonts w:ascii="Times New Roman" w:hAnsi="Times New Roman" w:cs="Times New Roman"/>
          <w:sz w:val="24"/>
          <w:szCs w:val="24"/>
        </w:rPr>
        <w:t>.</w:t>
      </w:r>
      <w:r w:rsidR="00370C6C">
        <w:rPr>
          <w:rFonts w:ascii="Times New Roman" w:hAnsi="Times New Roman" w:cs="Times New Roman"/>
          <w:sz w:val="24"/>
          <w:szCs w:val="24"/>
        </w:rPr>
        <w:t xml:space="preserve"> </w:t>
      </w:r>
    </w:p>
    <w:p w14:paraId="4C2C83B0" w14:textId="77777777" w:rsidR="005739B7" w:rsidRPr="005742F9" w:rsidRDefault="005739B7" w:rsidP="005739B7">
      <w:pPr>
        <w:spacing w:after="120" w:line="240" w:lineRule="auto"/>
        <w:jc w:val="both"/>
        <w:rPr>
          <w:rFonts w:ascii="Times New Roman" w:hAnsi="Times New Roman" w:cs="Times New Roman"/>
          <w:sz w:val="24"/>
          <w:szCs w:val="24"/>
        </w:rPr>
      </w:pPr>
    </w:p>
    <w:p w14:paraId="62C4DA37" w14:textId="42D95BD2" w:rsidR="005739B7" w:rsidRPr="005742F9" w:rsidRDefault="005739B7" w:rsidP="005739B7">
      <w:pPr>
        <w:keepNext/>
        <w:numPr>
          <w:ilvl w:val="0"/>
          <w:numId w:val="12"/>
        </w:numPr>
        <w:spacing w:after="120" w:line="240" w:lineRule="auto"/>
        <w:ind w:left="425" w:hanging="425"/>
        <w:rPr>
          <w:rFonts w:ascii="Times New Roman" w:hAnsi="Times New Roman" w:cs="Times New Roman"/>
          <w:b/>
          <w:bCs/>
        </w:rPr>
      </w:pPr>
      <w:r w:rsidRPr="36BE81E9">
        <w:rPr>
          <w:rFonts w:ascii="Times New Roman" w:hAnsi="Times New Roman" w:cs="Times New Roman"/>
          <w:b/>
          <w:bCs/>
        </w:rPr>
        <w:t>Indicators</w:t>
      </w:r>
      <w:r w:rsidR="000C64C7">
        <w:rPr>
          <w:rStyle w:val="DipnotBavurusu"/>
          <w:rFonts w:ascii="Times New Roman Italic" w:hAnsi="Times New Roman Italic" w:cs="Times New Roman"/>
          <w:i/>
          <w:iCs/>
          <w:sz w:val="24"/>
          <w:szCs w:val="24"/>
        </w:rPr>
        <w:footnoteReference w:id="28"/>
      </w:r>
      <w:r w:rsidRPr="36BE81E9">
        <w:rPr>
          <w:rFonts w:ascii="Times New Roman" w:hAnsi="Times New Roman" w:cs="Times New Roman"/>
          <w:b/>
          <w:bCs/>
        </w:rPr>
        <w:t xml:space="preserve"> </w:t>
      </w:r>
    </w:p>
    <w:p w14:paraId="34F463AC" w14:textId="6BCEB8FC" w:rsidR="005739B7" w:rsidRPr="006F3F22"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Thematic Priority 1: Good governance</w:t>
      </w:r>
    </w:p>
    <w:p w14:paraId="1EA08259" w14:textId="00692439" w:rsidR="005739B7" w:rsidRDefault="005739B7" w:rsidP="005739B7">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Public Administration Reform (source: European Commission)</w:t>
      </w:r>
      <w:r w:rsidR="00D20CF3">
        <w:rPr>
          <w:rStyle w:val="DipnotBavurusu"/>
          <w:rFonts w:ascii="Times New Roman" w:hAnsi="Times New Roman" w:cs="Times New Roman"/>
          <w:sz w:val="24"/>
          <w:szCs w:val="24"/>
        </w:rPr>
        <w:footnoteReference w:id="29"/>
      </w:r>
    </w:p>
    <w:p w14:paraId="0EB5410A" w14:textId="6739645A"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76030B">
        <w:rPr>
          <w:rFonts w:ascii="Times New Roman" w:hAnsi="Times New Roman" w:cs="Times New Roman"/>
          <w:sz w:val="24"/>
          <w:szCs w:val="24"/>
        </w:rPr>
        <w:t>8</w:t>
      </w:r>
      <w:r w:rsidRPr="36BE81E9">
        <w:rPr>
          <w:rFonts w:ascii="Times New Roman" w:hAnsi="Times New Roman" w:cs="Times New Roman"/>
          <w:sz w:val="24"/>
          <w:szCs w:val="24"/>
        </w:rPr>
        <w:t>): Western Balkans (</w:t>
      </w:r>
      <w:r w:rsidR="0076030B">
        <w:rPr>
          <w:rFonts w:ascii="Times New Roman" w:hAnsi="Times New Roman" w:cs="Times New Roman"/>
          <w:sz w:val="24"/>
          <w:szCs w:val="24"/>
        </w:rPr>
        <w:t>2.5</w:t>
      </w:r>
      <w:r w:rsidRPr="36BE81E9">
        <w:rPr>
          <w:rFonts w:ascii="Times New Roman" w:hAnsi="Times New Roman" w:cs="Times New Roman"/>
          <w:sz w:val="24"/>
          <w:szCs w:val="24"/>
        </w:rPr>
        <w:t>) and Turkey (</w:t>
      </w:r>
      <w:r w:rsidR="0076030B">
        <w:rPr>
          <w:rFonts w:ascii="Times New Roman" w:hAnsi="Times New Roman" w:cs="Times New Roman"/>
          <w:sz w:val="24"/>
          <w:szCs w:val="24"/>
        </w:rPr>
        <w:t>3</w:t>
      </w:r>
      <w:r w:rsidRPr="36BE81E9">
        <w:rPr>
          <w:rFonts w:ascii="Times New Roman" w:hAnsi="Times New Roman" w:cs="Times New Roman"/>
          <w:sz w:val="24"/>
          <w:szCs w:val="24"/>
        </w:rPr>
        <w:t>)</w:t>
      </w:r>
    </w:p>
    <w:p w14:paraId="5A8CD2A8" w14:textId="68E61B8D"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76030B">
        <w:rPr>
          <w:rFonts w:ascii="Times New Roman" w:hAnsi="Times New Roman" w:cs="Times New Roman"/>
          <w:sz w:val="24"/>
          <w:szCs w:val="24"/>
        </w:rPr>
        <w:t>Increase</w:t>
      </w:r>
      <w:r w:rsidRPr="36BE81E9">
        <w:rPr>
          <w:rFonts w:ascii="Times New Roman" w:hAnsi="Times New Roman" w:cs="Times New Roman"/>
          <w:sz w:val="24"/>
          <w:szCs w:val="24"/>
        </w:rPr>
        <w:t>) and Turkey (</w:t>
      </w:r>
      <w:r w:rsidR="0076030B">
        <w:rPr>
          <w:rFonts w:ascii="Times New Roman" w:hAnsi="Times New Roman" w:cs="Times New Roman"/>
          <w:sz w:val="24"/>
          <w:szCs w:val="24"/>
        </w:rPr>
        <w:t>Increase</w:t>
      </w:r>
      <w:r w:rsidRPr="36BE81E9">
        <w:rPr>
          <w:rFonts w:ascii="Times New Roman" w:hAnsi="Times New Roman" w:cs="Times New Roman"/>
          <w:sz w:val="24"/>
          <w:szCs w:val="24"/>
        </w:rPr>
        <w:t>).</w:t>
      </w:r>
    </w:p>
    <w:p w14:paraId="677A4F72" w14:textId="6A905C71" w:rsidR="005739B7" w:rsidRDefault="005739B7" w:rsidP="005739B7">
      <w:pPr>
        <w:pStyle w:val="ListeParagraf"/>
        <w:spacing w:after="120" w:line="240" w:lineRule="auto"/>
        <w:contextualSpacing w:val="0"/>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76030B">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76030B">
        <w:rPr>
          <w:rFonts w:ascii="Times New Roman" w:hAnsi="Times New Roman" w:cs="Times New Roman"/>
          <w:sz w:val="24"/>
          <w:szCs w:val="24"/>
        </w:rPr>
        <w:t>Increase</w:t>
      </w:r>
      <w:r w:rsidRPr="36BE81E9">
        <w:rPr>
          <w:rFonts w:ascii="Times New Roman" w:eastAsia="Times New Roman" w:hAnsi="Times New Roman" w:cs="Times New Roman"/>
          <w:sz w:val="24"/>
          <w:szCs w:val="24"/>
        </w:rPr>
        <w:t>).</w:t>
      </w:r>
    </w:p>
    <w:p w14:paraId="5A46AF24" w14:textId="10A1A747" w:rsidR="005739B7" w:rsidRPr="00147A46" w:rsidRDefault="005739B7" w:rsidP="005739B7">
      <w:pPr>
        <w:spacing w:after="120" w:line="240" w:lineRule="auto"/>
        <w:ind w:left="720"/>
        <w:jc w:val="both"/>
        <w:rPr>
          <w:rFonts w:ascii="Times New Roman" w:hAnsi="Times New Roman" w:cs="Times New Roman"/>
          <w:sz w:val="24"/>
          <w:szCs w:val="24"/>
        </w:rPr>
      </w:pPr>
    </w:p>
    <w:p w14:paraId="64B9D30A" w14:textId="77777777" w:rsidR="005739B7" w:rsidRPr="005742F9" w:rsidRDefault="005739B7" w:rsidP="005739B7">
      <w:pPr>
        <w:numPr>
          <w:ilvl w:val="0"/>
          <w:numId w:val="1"/>
        </w:numPr>
        <w:spacing w:after="120" w:line="240" w:lineRule="auto"/>
        <w:jc w:val="both"/>
      </w:pPr>
      <w:r w:rsidRPr="36BE81E9">
        <w:rPr>
          <w:rFonts w:ascii="Times New Roman" w:hAnsi="Times New Roman" w:cs="Times New Roman"/>
          <w:sz w:val="24"/>
          <w:szCs w:val="24"/>
        </w:rPr>
        <w:t xml:space="preserve">Number of countries that have statistical legislation that complies with the </w:t>
      </w:r>
      <w:r>
        <w:rPr>
          <w:rFonts w:ascii="Times New Roman" w:hAnsi="Times New Roman" w:cs="Times New Roman"/>
          <w:sz w:val="24"/>
          <w:szCs w:val="24"/>
        </w:rPr>
        <w:t>European statistics Code of Practice</w:t>
      </w:r>
      <w:r w:rsidRPr="36BE81E9">
        <w:rPr>
          <w:rFonts w:ascii="Times New Roman" w:hAnsi="Times New Roman" w:cs="Times New Roman"/>
          <w:sz w:val="24"/>
          <w:szCs w:val="24"/>
        </w:rPr>
        <w:t xml:space="preserve"> – SDG indicator 17.18.2</w:t>
      </w:r>
    </w:p>
    <w:p w14:paraId="47E2141A" w14:textId="10D66455"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w:t>
      </w:r>
      <w:r w:rsidR="000C64C7" w:rsidRPr="36BE81E9">
        <w:rPr>
          <w:rFonts w:ascii="Times New Roman" w:hAnsi="Times New Roman" w:cs="Times New Roman"/>
          <w:sz w:val="24"/>
          <w:szCs w:val="24"/>
        </w:rPr>
        <w:t>20</w:t>
      </w:r>
      <w:r w:rsidR="000C64C7">
        <w:rPr>
          <w:rFonts w:ascii="Times New Roman" w:hAnsi="Times New Roman" w:cs="Times New Roman"/>
          <w:sz w:val="24"/>
          <w:szCs w:val="24"/>
        </w:rPr>
        <w:t>20</w:t>
      </w:r>
      <w:r w:rsidRPr="36BE81E9">
        <w:rPr>
          <w:rFonts w:ascii="Times New Roman" w:hAnsi="Times New Roman" w:cs="Times New Roman"/>
          <w:sz w:val="24"/>
          <w:szCs w:val="24"/>
        </w:rPr>
        <w:t>): Western Balkans and Turkey (</w:t>
      </w:r>
      <w:r w:rsidR="000C64C7">
        <w:rPr>
          <w:rFonts w:ascii="Times New Roman" w:hAnsi="Times New Roman" w:cs="Times New Roman"/>
          <w:sz w:val="24"/>
          <w:szCs w:val="24"/>
        </w:rPr>
        <w:t>5</w:t>
      </w:r>
      <w:r w:rsidRPr="36BE81E9">
        <w:rPr>
          <w:rFonts w:ascii="Times New Roman" w:hAnsi="Times New Roman" w:cs="Times New Roman"/>
          <w:sz w:val="24"/>
          <w:szCs w:val="24"/>
        </w:rPr>
        <w:t>)</w:t>
      </w:r>
    </w:p>
    <w:p w14:paraId="472A11BF" w14:textId="54DBD758"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and Turkey (</w:t>
      </w:r>
      <w:r w:rsidR="000C64C7">
        <w:rPr>
          <w:rFonts w:ascii="Times New Roman" w:hAnsi="Times New Roman" w:cs="Times New Roman"/>
          <w:sz w:val="24"/>
          <w:szCs w:val="24"/>
        </w:rPr>
        <w:t>stability</w:t>
      </w:r>
      <w:r w:rsidRPr="36BE81E9">
        <w:rPr>
          <w:rFonts w:ascii="Times New Roman" w:hAnsi="Times New Roman" w:cs="Times New Roman"/>
          <w:sz w:val="24"/>
          <w:szCs w:val="24"/>
        </w:rPr>
        <w:t>)</w:t>
      </w:r>
    </w:p>
    <w:p w14:paraId="33F7A03C" w14:textId="2908C277" w:rsidR="005739B7" w:rsidRDefault="005739B7" w:rsidP="005739B7">
      <w:pPr>
        <w:pStyle w:val="ListeParagraf"/>
        <w:spacing w:after="120" w:line="240" w:lineRule="auto"/>
        <w:contextualSpacing w:val="0"/>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0C64C7">
        <w:rPr>
          <w:rFonts w:ascii="Times New Roman" w:eastAsia="Times New Roman" w:hAnsi="Times New Roman" w:cs="Times New Roman"/>
          <w:sz w:val="24"/>
          <w:szCs w:val="24"/>
        </w:rPr>
        <w:t>Increase</w:t>
      </w:r>
      <w:r w:rsidRPr="36BE81E9">
        <w:rPr>
          <w:rFonts w:ascii="Times New Roman" w:eastAsia="Times New Roman" w:hAnsi="Times New Roman" w:cs="Times New Roman"/>
          <w:sz w:val="24"/>
          <w:szCs w:val="24"/>
        </w:rPr>
        <w:t>)</w:t>
      </w:r>
    </w:p>
    <w:p w14:paraId="6D2A882F" w14:textId="7A5E78B8" w:rsidR="005739B7" w:rsidRPr="00270B55" w:rsidRDefault="005739B7" w:rsidP="005739B7">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Degree of readiness of candidate countries and potential </w:t>
      </w:r>
      <w:r>
        <w:rPr>
          <w:rFonts w:ascii="Times New Roman" w:hAnsi="Times New Roman" w:cs="Times New Roman"/>
          <w:sz w:val="24"/>
          <w:szCs w:val="24"/>
        </w:rPr>
        <w:t xml:space="preserve">candidates </w:t>
      </w:r>
      <w:r w:rsidRPr="36BE81E9">
        <w:rPr>
          <w:rFonts w:ascii="Times New Roman" w:hAnsi="Times New Roman" w:cs="Times New Roman"/>
          <w:sz w:val="24"/>
          <w:szCs w:val="24"/>
        </w:rPr>
        <w:t xml:space="preserve">on economic criteria (source: European </w:t>
      </w:r>
      <w:r w:rsidR="00092A40">
        <w:rPr>
          <w:rFonts w:ascii="Times New Roman" w:hAnsi="Times New Roman" w:cs="Times New Roman"/>
          <w:sz w:val="24"/>
          <w:szCs w:val="24"/>
        </w:rPr>
        <w:t xml:space="preserve">Commission) - KPI 4 of IPA III Regulation </w:t>
      </w:r>
    </w:p>
    <w:p w14:paraId="13B757B5" w14:textId="7BA12569"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76030B">
        <w:rPr>
          <w:rFonts w:ascii="Times New Roman" w:hAnsi="Times New Roman" w:cs="Times New Roman"/>
          <w:sz w:val="24"/>
          <w:szCs w:val="24"/>
        </w:rPr>
        <w:t>8</w:t>
      </w:r>
      <w:r w:rsidRPr="36BE81E9">
        <w:rPr>
          <w:rFonts w:ascii="Times New Roman" w:hAnsi="Times New Roman" w:cs="Times New Roman"/>
          <w:sz w:val="24"/>
          <w:szCs w:val="24"/>
        </w:rPr>
        <w:t>): Western Balkans (</w:t>
      </w:r>
      <w:r w:rsidR="0076030B">
        <w:rPr>
          <w:rFonts w:ascii="Times New Roman" w:hAnsi="Times New Roman" w:cs="Times New Roman"/>
          <w:sz w:val="24"/>
          <w:szCs w:val="24"/>
        </w:rPr>
        <w:t>2.3</w:t>
      </w:r>
      <w:r w:rsidRPr="36BE81E9">
        <w:rPr>
          <w:rFonts w:ascii="Times New Roman" w:hAnsi="Times New Roman" w:cs="Times New Roman"/>
          <w:sz w:val="24"/>
          <w:szCs w:val="24"/>
        </w:rPr>
        <w:t>) and Turkey (</w:t>
      </w:r>
      <w:r w:rsidR="0076030B">
        <w:rPr>
          <w:rFonts w:ascii="Times New Roman" w:hAnsi="Times New Roman" w:cs="Times New Roman"/>
          <w:sz w:val="24"/>
          <w:szCs w:val="24"/>
        </w:rPr>
        <w:t>4.5</w:t>
      </w:r>
      <w:r w:rsidRPr="36BE81E9">
        <w:rPr>
          <w:rFonts w:ascii="Times New Roman" w:hAnsi="Times New Roman" w:cs="Times New Roman"/>
          <w:sz w:val="24"/>
          <w:szCs w:val="24"/>
        </w:rPr>
        <w:t>)</w:t>
      </w:r>
    </w:p>
    <w:p w14:paraId="7BAC6C21" w14:textId="5CF904B3"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76030B">
        <w:rPr>
          <w:rFonts w:ascii="Times New Roman" w:hAnsi="Times New Roman" w:cs="Times New Roman"/>
          <w:sz w:val="24"/>
          <w:szCs w:val="24"/>
        </w:rPr>
        <w:t>Increase</w:t>
      </w:r>
      <w:r w:rsidRPr="36BE81E9">
        <w:rPr>
          <w:rFonts w:ascii="Times New Roman" w:hAnsi="Times New Roman" w:cs="Times New Roman"/>
          <w:sz w:val="24"/>
          <w:szCs w:val="24"/>
        </w:rPr>
        <w:t>) and Turkey (</w:t>
      </w:r>
      <w:r w:rsidR="0076030B">
        <w:rPr>
          <w:rFonts w:ascii="Times New Roman" w:hAnsi="Times New Roman" w:cs="Times New Roman"/>
          <w:sz w:val="24"/>
          <w:szCs w:val="24"/>
        </w:rPr>
        <w:t>Increase</w:t>
      </w:r>
      <w:r w:rsidRPr="36BE81E9">
        <w:rPr>
          <w:rFonts w:ascii="Times New Roman" w:hAnsi="Times New Roman" w:cs="Times New Roman"/>
          <w:sz w:val="24"/>
          <w:szCs w:val="24"/>
        </w:rPr>
        <w:t>)</w:t>
      </w:r>
    </w:p>
    <w:p w14:paraId="20BD22BB" w14:textId="30A02A6C" w:rsidR="005739B7" w:rsidRDefault="005739B7" w:rsidP="005739B7">
      <w:pPr>
        <w:pStyle w:val="ListeParagraf"/>
        <w:spacing w:after="120" w:line="240" w:lineRule="auto"/>
        <w:contextualSpacing w:val="0"/>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76030B">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76030B">
        <w:rPr>
          <w:rFonts w:ascii="Times New Roman" w:hAnsi="Times New Roman" w:cs="Times New Roman"/>
          <w:sz w:val="24"/>
          <w:szCs w:val="24"/>
        </w:rPr>
        <w:t>Increase</w:t>
      </w:r>
      <w:r w:rsidRPr="36BE81E9">
        <w:rPr>
          <w:rFonts w:ascii="Times New Roman" w:eastAsia="Times New Roman" w:hAnsi="Times New Roman" w:cs="Times New Roman"/>
          <w:sz w:val="24"/>
          <w:szCs w:val="24"/>
        </w:rPr>
        <w:t>)</w:t>
      </w:r>
    </w:p>
    <w:p w14:paraId="20AF094A" w14:textId="77777777" w:rsidR="005739B7"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 xml:space="preserve">Thematic Priority 2: Administrative capacity and </w:t>
      </w:r>
      <w:r>
        <w:rPr>
          <w:rFonts w:ascii="Times New Roman Italic" w:hAnsi="Times New Roman Italic" w:cs="Times New Roman"/>
          <w:i/>
          <w:iCs/>
          <w:sz w:val="24"/>
          <w:szCs w:val="24"/>
        </w:rPr>
        <w:t xml:space="preserve">EU </w:t>
      </w:r>
      <w:r w:rsidRPr="36BE81E9">
        <w:rPr>
          <w:rFonts w:ascii="Times New Roman Italic" w:hAnsi="Times New Roman Italic" w:cs="Times New Roman"/>
          <w:i/>
          <w:iCs/>
          <w:sz w:val="24"/>
          <w:szCs w:val="24"/>
        </w:rPr>
        <w:t>acquis alignment</w:t>
      </w:r>
    </w:p>
    <w:p w14:paraId="76041D5E" w14:textId="1C729C03" w:rsidR="005739B7" w:rsidRDefault="005739B7" w:rsidP="005739B7">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Degree of readiness of candidate countries and potential candidates in terms of </w:t>
      </w:r>
      <w:r w:rsidRPr="00B31419">
        <w:rPr>
          <w:rFonts w:ascii="Times New Roman" w:hAnsi="Times New Roman" w:cs="Times New Roman"/>
          <w:i/>
          <w:sz w:val="24"/>
          <w:szCs w:val="24"/>
        </w:rPr>
        <w:t xml:space="preserve">acquis </w:t>
      </w:r>
      <w:r w:rsidRPr="36BE81E9">
        <w:rPr>
          <w:rFonts w:ascii="Times New Roman" w:hAnsi="Times New Roman" w:cs="Times New Roman"/>
          <w:sz w:val="24"/>
          <w:szCs w:val="24"/>
        </w:rPr>
        <w:t>alignment (source: European Commission) – KPI 3 of IPA III</w:t>
      </w:r>
      <w:r w:rsidR="00092A40">
        <w:rPr>
          <w:rFonts w:ascii="Times New Roman" w:hAnsi="Times New Roman" w:cs="Times New Roman"/>
          <w:sz w:val="24"/>
          <w:szCs w:val="24"/>
        </w:rPr>
        <w:t xml:space="preserve"> Regulation</w:t>
      </w:r>
    </w:p>
    <w:p w14:paraId="16E795EA" w14:textId="5F940DF9"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(201</w:t>
      </w:r>
      <w:r w:rsidR="0076030B">
        <w:rPr>
          <w:rFonts w:ascii="Times New Roman" w:hAnsi="Times New Roman" w:cs="Times New Roman"/>
          <w:sz w:val="24"/>
          <w:szCs w:val="24"/>
        </w:rPr>
        <w:t>9</w:t>
      </w:r>
      <w:r w:rsidRPr="36BE81E9">
        <w:rPr>
          <w:rFonts w:ascii="Times New Roman" w:hAnsi="Times New Roman" w:cs="Times New Roman"/>
          <w:sz w:val="24"/>
          <w:szCs w:val="24"/>
        </w:rPr>
        <w:t>): Western Balkans (</w:t>
      </w:r>
      <w:r w:rsidR="0076030B">
        <w:rPr>
          <w:rFonts w:ascii="Times New Roman" w:hAnsi="Times New Roman" w:cs="Times New Roman"/>
          <w:sz w:val="24"/>
          <w:szCs w:val="24"/>
        </w:rPr>
        <w:t>2.5</w:t>
      </w:r>
      <w:r w:rsidRPr="36BE81E9">
        <w:rPr>
          <w:rFonts w:ascii="Times New Roman" w:hAnsi="Times New Roman" w:cs="Times New Roman"/>
          <w:sz w:val="24"/>
          <w:szCs w:val="24"/>
        </w:rPr>
        <w:t>) and Turkey (</w:t>
      </w:r>
      <w:r w:rsidR="0076030B">
        <w:rPr>
          <w:rFonts w:ascii="Times New Roman" w:hAnsi="Times New Roman" w:cs="Times New Roman"/>
          <w:sz w:val="24"/>
          <w:szCs w:val="24"/>
        </w:rPr>
        <w:t>2.9</w:t>
      </w:r>
      <w:r w:rsidRPr="36BE81E9">
        <w:rPr>
          <w:rFonts w:ascii="Times New Roman" w:hAnsi="Times New Roman" w:cs="Times New Roman"/>
          <w:sz w:val="24"/>
          <w:szCs w:val="24"/>
        </w:rPr>
        <w:t>)</w:t>
      </w:r>
    </w:p>
    <w:p w14:paraId="4D6EE1BD" w14:textId="7EB768E0"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76030B">
        <w:rPr>
          <w:rFonts w:ascii="Times New Roman" w:hAnsi="Times New Roman" w:cs="Times New Roman"/>
          <w:sz w:val="24"/>
          <w:szCs w:val="24"/>
        </w:rPr>
        <w:t>Increase</w:t>
      </w:r>
      <w:r w:rsidRPr="36BE81E9">
        <w:rPr>
          <w:rFonts w:ascii="Times New Roman" w:hAnsi="Times New Roman" w:cs="Times New Roman"/>
          <w:sz w:val="24"/>
          <w:szCs w:val="24"/>
        </w:rPr>
        <w:t>) and Turkey (</w:t>
      </w:r>
      <w:r w:rsidR="0076030B">
        <w:rPr>
          <w:rFonts w:ascii="Times New Roman" w:hAnsi="Times New Roman" w:cs="Times New Roman"/>
          <w:sz w:val="24"/>
          <w:szCs w:val="24"/>
        </w:rPr>
        <w:t>Increase</w:t>
      </w:r>
      <w:r w:rsidRPr="36BE81E9">
        <w:rPr>
          <w:rFonts w:ascii="Times New Roman" w:hAnsi="Times New Roman" w:cs="Times New Roman"/>
          <w:sz w:val="24"/>
          <w:szCs w:val="24"/>
        </w:rPr>
        <w:t>)</w:t>
      </w:r>
    </w:p>
    <w:p w14:paraId="31D6DE30" w14:textId="5F85154E" w:rsidR="005739B7" w:rsidRDefault="005739B7" w:rsidP="005739B7">
      <w:pPr>
        <w:pStyle w:val="ListeParagraf"/>
        <w:spacing w:after="120" w:line="240" w:lineRule="auto"/>
        <w:contextualSpacing w:val="0"/>
        <w:jc w:val="both"/>
        <w:rPr>
          <w:rFonts w:ascii="Times New Roman" w:eastAsia="Times New Roman" w:hAnsi="Times New Roman" w:cs="Times New Roman"/>
          <w:sz w:val="24"/>
          <w:szCs w:val="24"/>
        </w:rPr>
      </w:pPr>
      <w:r w:rsidRPr="36BE81E9">
        <w:rPr>
          <w:rFonts w:ascii="Times New Roman" w:hAnsi="Times New Roman" w:cs="Times New Roman"/>
          <w:sz w:val="24"/>
          <w:szCs w:val="24"/>
        </w:rPr>
        <w:t>Target (2027): Western Balkans (</w:t>
      </w:r>
      <w:r w:rsidR="0076030B">
        <w:rPr>
          <w:rFonts w:ascii="Times New Roman" w:hAnsi="Times New Roman" w:cs="Times New Roman"/>
          <w:sz w:val="24"/>
          <w:szCs w:val="24"/>
        </w:rPr>
        <w:t>Increase</w:t>
      </w:r>
      <w:r w:rsidRPr="36BE81E9">
        <w:rPr>
          <w:rFonts w:ascii="Times New Roman" w:hAnsi="Times New Roman" w:cs="Times New Roman"/>
          <w:sz w:val="24"/>
          <w:szCs w:val="24"/>
        </w:rPr>
        <w:t>) and</w:t>
      </w:r>
      <w:r w:rsidRPr="36BE81E9">
        <w:rPr>
          <w:rFonts w:ascii="Times New Roman" w:eastAsia="Times New Roman" w:hAnsi="Times New Roman" w:cs="Times New Roman"/>
          <w:i/>
          <w:iCs/>
          <w:sz w:val="24"/>
          <w:szCs w:val="24"/>
        </w:rPr>
        <w:t xml:space="preserve"> </w:t>
      </w:r>
      <w:r w:rsidRPr="36BE81E9">
        <w:rPr>
          <w:rFonts w:ascii="Times New Roman" w:eastAsia="Times New Roman" w:hAnsi="Times New Roman" w:cs="Times New Roman"/>
          <w:sz w:val="24"/>
          <w:szCs w:val="24"/>
        </w:rPr>
        <w:t>Turkey (</w:t>
      </w:r>
      <w:r w:rsidR="0076030B">
        <w:rPr>
          <w:rFonts w:ascii="Times New Roman" w:hAnsi="Times New Roman" w:cs="Times New Roman"/>
          <w:sz w:val="24"/>
          <w:szCs w:val="24"/>
        </w:rPr>
        <w:t>Increase</w:t>
      </w:r>
      <w:r w:rsidRPr="36BE81E9">
        <w:rPr>
          <w:rFonts w:ascii="Times New Roman" w:eastAsia="Times New Roman" w:hAnsi="Times New Roman" w:cs="Times New Roman"/>
          <w:sz w:val="24"/>
          <w:szCs w:val="24"/>
        </w:rPr>
        <w:t>)</w:t>
      </w:r>
    </w:p>
    <w:p w14:paraId="4CECECE2" w14:textId="77777777" w:rsidR="005739B7" w:rsidRPr="001516A3" w:rsidRDefault="005739B7" w:rsidP="005739B7">
      <w:pPr>
        <w:spacing w:after="120" w:line="240" w:lineRule="auto"/>
        <w:jc w:val="both"/>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Thematic Priority 3: Good neighbourly relations and reconciliations</w:t>
      </w:r>
    </w:p>
    <w:p w14:paraId="38487C7C" w14:textId="77777777" w:rsidR="005739B7" w:rsidRPr="00332E38" w:rsidRDefault="005739B7" w:rsidP="005739B7">
      <w:pPr>
        <w:numPr>
          <w:ilvl w:val="0"/>
          <w:numId w:val="1"/>
        </w:numPr>
        <w:spacing w:after="120" w:line="240" w:lineRule="auto"/>
        <w:jc w:val="both"/>
        <w:rPr>
          <w:rFonts w:ascii="Times New Roman" w:hAnsi="Times New Roman" w:cs="Times New Roman"/>
          <w:sz w:val="24"/>
          <w:szCs w:val="24"/>
        </w:rPr>
      </w:pPr>
      <w:r w:rsidRPr="00332E38">
        <w:rPr>
          <w:rFonts w:ascii="Times New Roman" w:hAnsi="Times New Roman" w:cs="Times New Roman"/>
          <w:sz w:val="24"/>
          <w:szCs w:val="24"/>
        </w:rPr>
        <w:t>Attitudes on regional cooperation and EU integration (source: Regional Cooperation Council’s Balkan Barometer)</w:t>
      </w:r>
    </w:p>
    <w:p w14:paraId="4FDC677B" w14:textId="4A7C098F"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w:t>
      </w:r>
      <w:r w:rsidR="000C64C7" w:rsidRPr="36BE81E9">
        <w:rPr>
          <w:rFonts w:ascii="Times New Roman" w:hAnsi="Times New Roman" w:cs="Times New Roman"/>
          <w:sz w:val="24"/>
          <w:szCs w:val="24"/>
        </w:rPr>
        <w:t>201</w:t>
      </w:r>
      <w:r w:rsidR="000C64C7">
        <w:rPr>
          <w:rFonts w:ascii="Times New Roman" w:hAnsi="Times New Roman" w:cs="Times New Roman"/>
          <w:sz w:val="24"/>
          <w:szCs w:val="24"/>
        </w:rPr>
        <w:t>8</w:t>
      </w:r>
      <w:r w:rsidRPr="36BE81E9">
        <w:rPr>
          <w:rFonts w:ascii="Times New Roman" w:hAnsi="Times New Roman" w:cs="Times New Roman"/>
          <w:sz w:val="24"/>
          <w:szCs w:val="24"/>
        </w:rPr>
        <w:t>): Western Balkans (</w:t>
      </w:r>
      <w:r w:rsidR="000C64C7">
        <w:rPr>
          <w:rFonts w:ascii="Times New Roman" w:hAnsi="Times New Roman" w:cs="Times New Roman"/>
          <w:sz w:val="24"/>
          <w:szCs w:val="24"/>
        </w:rPr>
        <w:t>51%</w:t>
      </w:r>
      <w:r w:rsidRPr="36BE81E9">
        <w:rPr>
          <w:rFonts w:ascii="Times New Roman" w:hAnsi="Times New Roman" w:cs="Times New Roman"/>
          <w:sz w:val="24"/>
          <w:szCs w:val="24"/>
        </w:rPr>
        <w:t>)</w:t>
      </w:r>
    </w:p>
    <w:p w14:paraId="557AA9A2" w14:textId="543EFB63" w:rsidR="005739B7" w:rsidRPr="006F3F22"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w:t>
      </w:r>
      <w:r w:rsidR="000C64C7" w:rsidRPr="36BE81E9">
        <w:rPr>
          <w:rFonts w:ascii="Times New Roman" w:hAnsi="Times New Roman" w:cs="Times New Roman"/>
          <w:sz w:val="24"/>
          <w:szCs w:val="24"/>
        </w:rPr>
        <w:t>202</w:t>
      </w:r>
      <w:r w:rsidR="000C64C7">
        <w:rPr>
          <w:rFonts w:ascii="Times New Roman" w:hAnsi="Times New Roman" w:cs="Times New Roman"/>
          <w:sz w:val="24"/>
          <w:szCs w:val="24"/>
        </w:rPr>
        <w:t>4</w:t>
      </w:r>
      <w:r w:rsidRPr="36BE81E9">
        <w:rPr>
          <w:rFonts w:ascii="Times New Roman" w:hAnsi="Times New Roman" w:cs="Times New Roman"/>
          <w:sz w:val="24"/>
          <w:szCs w:val="24"/>
        </w:rPr>
        <w:t>): Western Balkans (</w:t>
      </w:r>
      <w:r w:rsidR="000C64C7">
        <w:rPr>
          <w:rFonts w:ascii="Times New Roman" w:hAnsi="Times New Roman" w:cs="Times New Roman"/>
          <w:sz w:val="24"/>
          <w:szCs w:val="24"/>
        </w:rPr>
        <w:t>55%</w:t>
      </w:r>
      <w:r w:rsidRPr="36BE81E9">
        <w:rPr>
          <w:rFonts w:ascii="Times New Roman" w:hAnsi="Times New Roman" w:cs="Times New Roman"/>
          <w:sz w:val="24"/>
          <w:szCs w:val="24"/>
        </w:rPr>
        <w:t>)</w:t>
      </w:r>
    </w:p>
    <w:p w14:paraId="5DCA7E6C" w14:textId="0F3EEB78" w:rsidR="005739B7" w:rsidRDefault="005739B7" w:rsidP="005739B7">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0C64C7">
        <w:rPr>
          <w:rFonts w:ascii="Times New Roman" w:hAnsi="Times New Roman" w:cs="Times New Roman"/>
          <w:sz w:val="24"/>
          <w:szCs w:val="24"/>
        </w:rPr>
        <w:t>57%</w:t>
      </w:r>
      <w:r w:rsidRPr="36BE81E9">
        <w:rPr>
          <w:rFonts w:ascii="Times New Roman" w:hAnsi="Times New Roman" w:cs="Times New Roman"/>
          <w:sz w:val="24"/>
          <w:szCs w:val="24"/>
        </w:rPr>
        <w:t xml:space="preserve">) </w:t>
      </w:r>
    </w:p>
    <w:p w14:paraId="59B6AFD2" w14:textId="5C30ED3C" w:rsidR="002D1353" w:rsidRDefault="002D1353" w:rsidP="00564ACA">
      <w:pPr>
        <w:pStyle w:val="ListeParagraf"/>
        <w:numPr>
          <w:ilvl w:val="0"/>
          <w:numId w:val="1"/>
        </w:numPr>
        <w:spacing w:after="120" w:line="240" w:lineRule="auto"/>
        <w:jc w:val="both"/>
        <w:rPr>
          <w:rFonts w:ascii="Times New Roman" w:eastAsia="Times New Roman" w:hAnsi="Times New Roman" w:cs="Times New Roman"/>
          <w:sz w:val="24"/>
          <w:szCs w:val="24"/>
        </w:rPr>
      </w:pPr>
      <w:r w:rsidRPr="00564ACA">
        <w:rPr>
          <w:rFonts w:ascii="Times New Roman" w:eastAsia="Times New Roman" w:hAnsi="Times New Roman" w:cs="Times New Roman"/>
          <w:sz w:val="24"/>
          <w:szCs w:val="24"/>
        </w:rPr>
        <w:t>Good neighbourly relations, such as number of</w:t>
      </w:r>
      <w:r w:rsidR="00D44A3C">
        <w:rPr>
          <w:rFonts w:ascii="Times New Roman" w:eastAsia="Times New Roman" w:hAnsi="Times New Roman" w:cs="Times New Roman"/>
          <w:sz w:val="24"/>
          <w:szCs w:val="24"/>
        </w:rPr>
        <w:t xml:space="preserve"> organisations participating in</w:t>
      </w:r>
      <w:r w:rsidRPr="00564ACA">
        <w:rPr>
          <w:rFonts w:ascii="Times New Roman" w:eastAsia="Times New Roman" w:hAnsi="Times New Roman" w:cs="Times New Roman"/>
          <w:sz w:val="24"/>
          <w:szCs w:val="24"/>
        </w:rPr>
        <w:t xml:space="preserve"> cross-border partnerships (Source of data: National statistics, Regional Cooperation </w:t>
      </w:r>
      <w:r w:rsidR="00092A40">
        <w:rPr>
          <w:rFonts w:ascii="Times New Roman" w:eastAsia="Times New Roman" w:hAnsi="Times New Roman" w:cs="Times New Roman"/>
          <w:sz w:val="24"/>
          <w:szCs w:val="24"/>
        </w:rPr>
        <w:t>Council) - KPI 10 of IPA III Regulation</w:t>
      </w:r>
    </w:p>
    <w:p w14:paraId="76D35741" w14:textId="52222C92" w:rsidR="00C57EA6" w:rsidRPr="006F3F22" w:rsidRDefault="00C57EA6" w:rsidP="00564ACA">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w:t>
      </w:r>
      <w:r w:rsidR="006A550A" w:rsidRPr="36BE81E9">
        <w:rPr>
          <w:rFonts w:ascii="Times New Roman" w:hAnsi="Times New Roman" w:cs="Times New Roman"/>
          <w:sz w:val="24"/>
          <w:szCs w:val="24"/>
        </w:rPr>
        <w:t>20</w:t>
      </w:r>
      <w:r w:rsidR="006A550A">
        <w:rPr>
          <w:rFonts w:ascii="Times New Roman" w:hAnsi="Times New Roman" w:cs="Times New Roman"/>
          <w:sz w:val="24"/>
          <w:szCs w:val="24"/>
        </w:rPr>
        <w:t>21</w:t>
      </w:r>
      <w:r w:rsidR="006A550A">
        <w:rPr>
          <w:rStyle w:val="DipnotBavurusu"/>
          <w:rFonts w:ascii="Times New Roman" w:hAnsi="Times New Roman" w:cs="Times New Roman"/>
          <w:sz w:val="24"/>
          <w:szCs w:val="24"/>
        </w:rPr>
        <w:footnoteReference w:id="30"/>
      </w:r>
      <w:r w:rsidRPr="36BE81E9">
        <w:rPr>
          <w:rFonts w:ascii="Times New Roman" w:hAnsi="Times New Roman" w:cs="Times New Roman"/>
          <w:sz w:val="24"/>
          <w:szCs w:val="24"/>
        </w:rPr>
        <w:t>): Western Balkans (</w:t>
      </w:r>
      <w:r w:rsidR="006A550A">
        <w:rPr>
          <w:rFonts w:ascii="Times New Roman" w:hAnsi="Times New Roman" w:cs="Times New Roman"/>
          <w:sz w:val="24"/>
          <w:szCs w:val="24"/>
        </w:rPr>
        <w:t>1085</w:t>
      </w:r>
      <w:r w:rsidRPr="36BE81E9">
        <w:rPr>
          <w:rFonts w:ascii="Times New Roman" w:hAnsi="Times New Roman" w:cs="Times New Roman"/>
          <w:sz w:val="24"/>
          <w:szCs w:val="24"/>
        </w:rPr>
        <w:t>)</w:t>
      </w:r>
    </w:p>
    <w:p w14:paraId="24C75585" w14:textId="2BA1516D" w:rsidR="00C57EA6" w:rsidRPr="006F3F22" w:rsidRDefault="00C57EA6" w:rsidP="00564ACA">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w:t>
      </w:r>
      <w:r w:rsidR="006A550A" w:rsidRPr="36BE81E9">
        <w:rPr>
          <w:rFonts w:ascii="Times New Roman" w:hAnsi="Times New Roman" w:cs="Times New Roman"/>
          <w:sz w:val="24"/>
          <w:szCs w:val="24"/>
        </w:rPr>
        <w:t>202</w:t>
      </w:r>
      <w:r w:rsidR="006A550A">
        <w:rPr>
          <w:rFonts w:ascii="Times New Roman" w:hAnsi="Times New Roman" w:cs="Times New Roman"/>
          <w:sz w:val="24"/>
          <w:szCs w:val="24"/>
        </w:rPr>
        <w:t>5</w:t>
      </w:r>
      <w:r w:rsidRPr="36BE81E9">
        <w:rPr>
          <w:rFonts w:ascii="Times New Roman" w:hAnsi="Times New Roman" w:cs="Times New Roman"/>
          <w:sz w:val="24"/>
          <w:szCs w:val="24"/>
        </w:rPr>
        <w:t>): Western Balkans (</w:t>
      </w:r>
      <w:r w:rsidR="00D44A3C">
        <w:rPr>
          <w:rFonts w:ascii="Times New Roman" w:hAnsi="Times New Roman" w:cs="Times New Roman"/>
          <w:sz w:val="24"/>
          <w:szCs w:val="24"/>
        </w:rPr>
        <w:t>1</w:t>
      </w:r>
      <w:r w:rsidR="006A550A">
        <w:rPr>
          <w:rFonts w:ascii="Times New Roman" w:hAnsi="Times New Roman" w:cs="Times New Roman"/>
          <w:sz w:val="24"/>
          <w:szCs w:val="24"/>
        </w:rPr>
        <w:t>222</w:t>
      </w:r>
      <w:r w:rsidRPr="36BE81E9">
        <w:rPr>
          <w:rFonts w:ascii="Times New Roman" w:hAnsi="Times New Roman" w:cs="Times New Roman"/>
          <w:sz w:val="24"/>
          <w:szCs w:val="24"/>
        </w:rPr>
        <w:t>)</w:t>
      </w:r>
    </w:p>
    <w:p w14:paraId="0E28A15E" w14:textId="66BD91F2" w:rsidR="00C57EA6" w:rsidRDefault="00C57EA6" w:rsidP="00564ACA">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D44A3C">
        <w:rPr>
          <w:rFonts w:ascii="Times New Roman" w:hAnsi="Times New Roman" w:cs="Times New Roman"/>
          <w:sz w:val="24"/>
          <w:szCs w:val="24"/>
        </w:rPr>
        <w:t>150</w:t>
      </w:r>
      <w:r w:rsidR="006A550A">
        <w:rPr>
          <w:rFonts w:ascii="Times New Roman" w:hAnsi="Times New Roman" w:cs="Times New Roman"/>
          <w:sz w:val="24"/>
          <w:szCs w:val="24"/>
        </w:rPr>
        <w:t>8</w:t>
      </w:r>
      <w:r w:rsidRPr="36BE81E9">
        <w:rPr>
          <w:rFonts w:ascii="Times New Roman" w:hAnsi="Times New Roman" w:cs="Times New Roman"/>
          <w:sz w:val="24"/>
          <w:szCs w:val="24"/>
        </w:rPr>
        <w:t xml:space="preserve">) </w:t>
      </w:r>
    </w:p>
    <w:p w14:paraId="6772A62E" w14:textId="77777777" w:rsidR="00C57EA6" w:rsidRPr="00564ACA" w:rsidRDefault="00C57EA6" w:rsidP="00564ACA">
      <w:pPr>
        <w:pStyle w:val="ListeParagraf"/>
        <w:spacing w:after="120" w:line="240" w:lineRule="auto"/>
        <w:jc w:val="both"/>
        <w:rPr>
          <w:rFonts w:ascii="Times New Roman" w:eastAsia="Times New Roman" w:hAnsi="Times New Roman" w:cs="Times New Roman"/>
          <w:sz w:val="24"/>
          <w:szCs w:val="24"/>
        </w:rPr>
      </w:pPr>
    </w:p>
    <w:p w14:paraId="4C848632" w14:textId="5D171B7D" w:rsidR="002D1353" w:rsidRDefault="002D1353" w:rsidP="00564ACA">
      <w:pPr>
        <w:pStyle w:val="ListeParagraf"/>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D1353">
        <w:rPr>
          <w:rFonts w:ascii="Times New Roman" w:eastAsia="Times New Roman" w:hAnsi="Times New Roman" w:cs="Times New Roman"/>
          <w:sz w:val="24"/>
          <w:szCs w:val="24"/>
        </w:rPr>
        <w:t xml:space="preserve">ercentage of intra-regional trade to GDP (Source of data: National statistics, Regional Cooperation Council) - KPI 10 of IPA III </w:t>
      </w:r>
      <w:r w:rsidR="00092A40">
        <w:rPr>
          <w:rFonts w:ascii="Times New Roman" w:eastAsia="Times New Roman" w:hAnsi="Times New Roman" w:cs="Times New Roman"/>
          <w:sz w:val="24"/>
          <w:szCs w:val="24"/>
        </w:rPr>
        <w:t>Regulation</w:t>
      </w:r>
    </w:p>
    <w:p w14:paraId="0C823919" w14:textId="1194D878" w:rsidR="00C57EA6" w:rsidRPr="006F3F22" w:rsidRDefault="00C57EA6" w:rsidP="00564ACA">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Baseline (2017): Western Balkans (</w:t>
      </w:r>
      <w:r w:rsidR="00D44A3C">
        <w:rPr>
          <w:rFonts w:ascii="Times New Roman" w:hAnsi="Times New Roman" w:cs="Times New Roman"/>
          <w:sz w:val="24"/>
          <w:szCs w:val="24"/>
        </w:rPr>
        <w:t>4.97%</w:t>
      </w:r>
      <w:r w:rsidRPr="36BE81E9">
        <w:rPr>
          <w:rFonts w:ascii="Times New Roman" w:hAnsi="Times New Roman" w:cs="Times New Roman"/>
          <w:sz w:val="24"/>
          <w:szCs w:val="24"/>
        </w:rPr>
        <w:t>)</w:t>
      </w:r>
    </w:p>
    <w:p w14:paraId="7AD531BF" w14:textId="1641281F" w:rsidR="00C57EA6" w:rsidRPr="006F3F22" w:rsidRDefault="00C57EA6" w:rsidP="00564ACA">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D44A3C">
        <w:rPr>
          <w:rFonts w:ascii="Times New Roman" w:hAnsi="Times New Roman" w:cs="Times New Roman"/>
          <w:sz w:val="24"/>
          <w:szCs w:val="24"/>
        </w:rPr>
        <w:t>5.29%</w:t>
      </w:r>
      <w:r w:rsidRPr="36BE81E9">
        <w:rPr>
          <w:rFonts w:ascii="Times New Roman" w:hAnsi="Times New Roman" w:cs="Times New Roman"/>
          <w:sz w:val="24"/>
          <w:szCs w:val="24"/>
        </w:rPr>
        <w:t>)</w:t>
      </w:r>
    </w:p>
    <w:p w14:paraId="5FE25908" w14:textId="5CACED66" w:rsidR="00C57EA6" w:rsidRDefault="00C57EA6" w:rsidP="00564ACA">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D44A3C">
        <w:rPr>
          <w:rFonts w:ascii="Times New Roman" w:hAnsi="Times New Roman" w:cs="Times New Roman"/>
          <w:sz w:val="24"/>
          <w:szCs w:val="24"/>
        </w:rPr>
        <w:t>5.92%</w:t>
      </w:r>
      <w:r w:rsidRPr="36BE81E9">
        <w:rPr>
          <w:rFonts w:ascii="Times New Roman" w:hAnsi="Times New Roman" w:cs="Times New Roman"/>
          <w:sz w:val="24"/>
          <w:szCs w:val="24"/>
        </w:rPr>
        <w:t xml:space="preserve">) </w:t>
      </w:r>
    </w:p>
    <w:p w14:paraId="72BD8D6F" w14:textId="77777777" w:rsidR="00C57EA6" w:rsidRDefault="00C57EA6" w:rsidP="00564ACA">
      <w:pPr>
        <w:pStyle w:val="ListeParagraf"/>
        <w:spacing w:after="120" w:line="240" w:lineRule="auto"/>
        <w:jc w:val="both"/>
        <w:rPr>
          <w:rFonts w:ascii="Times New Roman" w:eastAsia="Times New Roman" w:hAnsi="Times New Roman" w:cs="Times New Roman"/>
          <w:sz w:val="24"/>
          <w:szCs w:val="24"/>
        </w:rPr>
      </w:pPr>
    </w:p>
    <w:p w14:paraId="1AF527BF" w14:textId="0F8F3F7C" w:rsidR="002D1353" w:rsidRPr="00564ACA" w:rsidRDefault="00C57EA6" w:rsidP="00564ACA">
      <w:pPr>
        <w:pStyle w:val="ListeParagraf"/>
        <w:numPr>
          <w:ilvl w:val="0"/>
          <w:numId w:val="1"/>
        </w:numPr>
        <w:spacing w:after="120" w:line="240" w:lineRule="auto"/>
        <w:jc w:val="both"/>
        <w:rPr>
          <w:rFonts w:ascii="Times New Roman" w:eastAsia="Times New Roman" w:hAnsi="Times New Roman" w:cs="Times New Roman"/>
          <w:sz w:val="24"/>
          <w:szCs w:val="24"/>
        </w:rPr>
      </w:pPr>
      <w:r w:rsidRPr="00564ACA">
        <w:rPr>
          <w:rFonts w:ascii="Times New Roman" w:eastAsia="Times New Roman" w:hAnsi="Times New Roman" w:cs="Times New Roman"/>
          <w:sz w:val="24"/>
          <w:szCs w:val="24"/>
        </w:rPr>
        <w:t>Number</w:t>
      </w:r>
      <w:r w:rsidR="002D1353" w:rsidRPr="00564ACA">
        <w:rPr>
          <w:rFonts w:ascii="Times New Roman" w:eastAsia="Times New Roman" w:hAnsi="Times New Roman" w:cs="Times New Roman"/>
          <w:sz w:val="24"/>
          <w:szCs w:val="24"/>
        </w:rPr>
        <w:t xml:space="preserve"> of persons crossing the border/day (Source: Transport Observatory)</w:t>
      </w:r>
    </w:p>
    <w:p w14:paraId="29BD4082" w14:textId="6C55A570" w:rsidR="002D1353" w:rsidRDefault="002D1353" w:rsidP="00564ACA">
      <w:pPr>
        <w:pStyle w:val="ListeParagraf"/>
        <w:spacing w:after="120" w:line="240" w:lineRule="auto"/>
        <w:jc w:val="both"/>
        <w:rPr>
          <w:rFonts w:ascii="Times New Roman" w:eastAsia="Times New Roman" w:hAnsi="Times New Roman" w:cs="Times New Roman"/>
          <w:sz w:val="24"/>
          <w:szCs w:val="24"/>
        </w:rPr>
      </w:pPr>
      <w:r w:rsidRPr="002D1353">
        <w:rPr>
          <w:rFonts w:ascii="Times New Roman" w:eastAsia="Times New Roman" w:hAnsi="Times New Roman" w:cs="Times New Roman"/>
          <w:sz w:val="24"/>
          <w:szCs w:val="24"/>
        </w:rPr>
        <w:t>Baseline will be available from 2023 once Transport Observatory will be fully operational. The milestones and targets will also be set following the arrival of the baseline.</w:t>
      </w:r>
    </w:p>
    <w:p w14:paraId="2CB8A848" w14:textId="77777777" w:rsidR="00C57EA6" w:rsidRDefault="00C57EA6" w:rsidP="00564ACA">
      <w:pPr>
        <w:pStyle w:val="ListeParagraf"/>
        <w:spacing w:after="120" w:line="240" w:lineRule="auto"/>
        <w:jc w:val="both"/>
        <w:rPr>
          <w:rFonts w:ascii="Times New Roman" w:eastAsia="Times New Roman" w:hAnsi="Times New Roman" w:cs="Times New Roman"/>
          <w:sz w:val="24"/>
          <w:szCs w:val="24"/>
        </w:rPr>
      </w:pPr>
    </w:p>
    <w:p w14:paraId="5E8B0D28" w14:textId="05832BFA" w:rsidR="002D1353" w:rsidRPr="00564ACA" w:rsidRDefault="00C57EA6" w:rsidP="00564ACA">
      <w:pPr>
        <w:pStyle w:val="ListeParagraf"/>
        <w:numPr>
          <w:ilvl w:val="0"/>
          <w:numId w:val="1"/>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2D1353" w:rsidRPr="00564ACA">
        <w:rPr>
          <w:rFonts w:ascii="Times New Roman" w:eastAsia="Times New Roman" w:hAnsi="Times New Roman" w:cs="Times New Roman"/>
          <w:sz w:val="24"/>
          <w:szCs w:val="24"/>
        </w:rPr>
        <w:t>umber of goods transporting vehicles crossing the border every day (Source: Transport Observatory)</w:t>
      </w:r>
    </w:p>
    <w:p w14:paraId="5544BCBC" w14:textId="55B71856" w:rsidR="002D1353" w:rsidRDefault="002D1353" w:rsidP="00564ACA">
      <w:pPr>
        <w:pStyle w:val="ListeParagraf"/>
        <w:spacing w:after="120" w:line="240" w:lineRule="auto"/>
        <w:jc w:val="both"/>
        <w:rPr>
          <w:rFonts w:ascii="Times New Roman" w:eastAsia="Times New Roman" w:hAnsi="Times New Roman" w:cs="Times New Roman"/>
          <w:sz w:val="24"/>
          <w:szCs w:val="24"/>
        </w:rPr>
      </w:pPr>
      <w:r w:rsidRPr="002D1353">
        <w:rPr>
          <w:rFonts w:ascii="Times New Roman" w:eastAsia="Times New Roman" w:hAnsi="Times New Roman" w:cs="Times New Roman"/>
          <w:sz w:val="24"/>
          <w:szCs w:val="24"/>
        </w:rPr>
        <w:t>Baseline will be available from 2023 once Transport Observatory will be fully operational. The milestones and targets will also be set following the arrival of the baseline.</w:t>
      </w:r>
    </w:p>
    <w:p w14:paraId="18636E92" w14:textId="77777777" w:rsidR="00092A40" w:rsidRPr="005134F7" w:rsidRDefault="00092A40" w:rsidP="00092A40">
      <w:r w:rsidRPr="005134F7">
        <w:rPr>
          <w:rFonts w:ascii="Times New Roman Italic" w:hAnsi="Times New Roman Italic" w:cs="Times New Roman"/>
          <w:i/>
          <w:iCs/>
          <w:sz w:val="24"/>
          <w:szCs w:val="24"/>
        </w:rPr>
        <w:t>Thematic Priority 4: Strategic communication, monitoring, evaluation and communication activities</w:t>
      </w:r>
    </w:p>
    <w:p w14:paraId="4C238D63" w14:textId="0785BF69" w:rsidR="002D1353" w:rsidRPr="00564ACA" w:rsidRDefault="002D1353" w:rsidP="00564ACA">
      <w:pPr>
        <w:pStyle w:val="ListeParagraf"/>
        <w:numPr>
          <w:ilvl w:val="0"/>
          <w:numId w:val="1"/>
        </w:numPr>
        <w:spacing w:after="120" w:line="240" w:lineRule="auto"/>
        <w:jc w:val="both"/>
        <w:rPr>
          <w:rFonts w:ascii="Times New Roman" w:eastAsia="Times New Roman" w:hAnsi="Times New Roman" w:cs="Times New Roman"/>
          <w:sz w:val="24"/>
          <w:szCs w:val="24"/>
        </w:rPr>
      </w:pPr>
      <w:r w:rsidRPr="00564ACA">
        <w:rPr>
          <w:rFonts w:ascii="Times New Roman" w:eastAsia="Times New Roman" w:hAnsi="Times New Roman" w:cs="Times New Roman"/>
          <w:sz w:val="24"/>
          <w:szCs w:val="24"/>
        </w:rPr>
        <w:t>Attitude towards the EU: Percentage of population with a positive general attitude towards the EU (source: European Commission/EU Delegations)."</w:t>
      </w:r>
    </w:p>
    <w:p w14:paraId="5E4E5AC5" w14:textId="318548FE" w:rsidR="002D1353" w:rsidRPr="00564ACA" w:rsidRDefault="002D1353">
      <w:pPr>
        <w:pStyle w:val="ListeParagraf"/>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Baseline (2020</w:t>
      </w:r>
      <w:r w:rsidRPr="36BE81E9">
        <w:rPr>
          <w:rFonts w:ascii="Times New Roman" w:hAnsi="Times New Roman" w:cs="Times New Roman"/>
          <w:sz w:val="24"/>
          <w:szCs w:val="24"/>
        </w:rPr>
        <w:t>): Western Balkans (</w:t>
      </w:r>
      <w:r w:rsidRPr="002D1353">
        <w:rPr>
          <w:rFonts w:ascii="Times New Roman" w:hAnsi="Times New Roman" w:cs="Times New Roman"/>
          <w:sz w:val="24"/>
          <w:szCs w:val="24"/>
        </w:rPr>
        <w:t>71.6%</w:t>
      </w:r>
      <w:r w:rsidRPr="36BE81E9">
        <w:rPr>
          <w:rFonts w:ascii="Times New Roman" w:hAnsi="Times New Roman" w:cs="Times New Roman"/>
          <w:sz w:val="24"/>
          <w:szCs w:val="24"/>
        </w:rPr>
        <w:t>)</w:t>
      </w:r>
      <w:r w:rsidRPr="002D1353">
        <w:rPr>
          <w:rFonts w:ascii="Times New Roman" w:hAnsi="Times New Roman" w:cs="Times New Roman"/>
          <w:sz w:val="24"/>
          <w:szCs w:val="24"/>
        </w:rPr>
        <w:t xml:space="preserve"> </w:t>
      </w:r>
      <w:r w:rsidRPr="36BE81E9">
        <w:rPr>
          <w:rFonts w:ascii="Times New Roman" w:hAnsi="Times New Roman" w:cs="Times New Roman"/>
          <w:sz w:val="24"/>
          <w:szCs w:val="24"/>
        </w:rPr>
        <w:t>and Turkey (</w:t>
      </w:r>
      <w:r>
        <w:rPr>
          <w:rFonts w:ascii="Times New Roman" w:hAnsi="Times New Roman" w:cs="Times New Roman"/>
          <w:sz w:val="24"/>
          <w:szCs w:val="24"/>
        </w:rPr>
        <w:t>53%</w:t>
      </w:r>
      <w:r w:rsidRPr="36BE81E9">
        <w:rPr>
          <w:rFonts w:ascii="Times New Roman" w:hAnsi="Times New Roman" w:cs="Times New Roman"/>
          <w:sz w:val="24"/>
          <w:szCs w:val="24"/>
        </w:rPr>
        <w:t>)</w:t>
      </w:r>
    </w:p>
    <w:p w14:paraId="7EFD3345" w14:textId="54323468" w:rsidR="002D1353" w:rsidRPr="00564ACA" w:rsidRDefault="002D1353">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Mile</w:t>
      </w:r>
      <w:r>
        <w:rPr>
          <w:rFonts w:ascii="Times New Roman" w:hAnsi="Times New Roman" w:cs="Times New Roman"/>
          <w:sz w:val="24"/>
          <w:szCs w:val="24"/>
        </w:rPr>
        <w:t>stone (2023): Western Balkans (</w:t>
      </w:r>
      <w:r w:rsidRPr="002D1353">
        <w:rPr>
          <w:rFonts w:ascii="Times New Roman" w:hAnsi="Times New Roman" w:cs="Times New Roman"/>
          <w:sz w:val="24"/>
          <w:szCs w:val="24"/>
        </w:rPr>
        <w:t>≥66.7%</w:t>
      </w:r>
      <w:r w:rsidRPr="36BE81E9">
        <w:rPr>
          <w:rFonts w:ascii="Times New Roman" w:hAnsi="Times New Roman" w:cs="Times New Roman"/>
          <w:sz w:val="24"/>
          <w:szCs w:val="24"/>
        </w:rPr>
        <w:t>)</w:t>
      </w:r>
      <w:r w:rsidRPr="002D1353">
        <w:rPr>
          <w:rFonts w:ascii="Times New Roman" w:hAnsi="Times New Roman" w:cs="Times New Roman"/>
          <w:sz w:val="24"/>
          <w:szCs w:val="24"/>
        </w:rPr>
        <w:t xml:space="preserve"> </w:t>
      </w:r>
      <w:r w:rsidRPr="36BE81E9">
        <w:rPr>
          <w:rFonts w:ascii="Times New Roman" w:hAnsi="Times New Roman" w:cs="Times New Roman"/>
          <w:sz w:val="24"/>
          <w:szCs w:val="24"/>
        </w:rPr>
        <w:t>and Turkey (</w:t>
      </w:r>
      <w:r w:rsidRPr="002D1353">
        <w:rPr>
          <w:rFonts w:ascii="Times New Roman" w:hAnsi="Times New Roman" w:cs="Times New Roman"/>
          <w:sz w:val="24"/>
          <w:szCs w:val="24"/>
        </w:rPr>
        <w:t>≥50%</w:t>
      </w:r>
      <w:r w:rsidRPr="36BE81E9">
        <w:rPr>
          <w:rFonts w:ascii="Times New Roman" w:hAnsi="Times New Roman" w:cs="Times New Roman"/>
          <w:sz w:val="24"/>
          <w:szCs w:val="24"/>
        </w:rPr>
        <w:t>)</w:t>
      </w:r>
    </w:p>
    <w:p w14:paraId="58B35D7E" w14:textId="51866724" w:rsidR="002D1353" w:rsidRPr="006F3F22" w:rsidRDefault="002D1353" w:rsidP="002D1353">
      <w:pPr>
        <w:pStyle w:val="ListeParagraf"/>
        <w:spacing w:after="120" w:line="240" w:lineRule="auto"/>
        <w:contextualSpacing w:val="0"/>
        <w:jc w:val="both"/>
        <w:rPr>
          <w:rFonts w:ascii="Times New Roman" w:hAnsi="Times New Roman" w:cs="Times New Roman"/>
          <w:sz w:val="24"/>
          <w:szCs w:val="24"/>
        </w:rPr>
      </w:pPr>
      <w:r w:rsidRPr="36BE81E9">
        <w:rPr>
          <w:rFonts w:ascii="Times New Roman" w:hAnsi="Times New Roman" w:cs="Times New Roman"/>
          <w:sz w:val="24"/>
          <w:szCs w:val="24"/>
        </w:rPr>
        <w:t>T</w:t>
      </w:r>
      <w:r>
        <w:rPr>
          <w:rFonts w:ascii="Times New Roman" w:hAnsi="Times New Roman" w:cs="Times New Roman"/>
          <w:sz w:val="24"/>
          <w:szCs w:val="24"/>
        </w:rPr>
        <w:t>arget (2027): Western Balkans (</w:t>
      </w:r>
      <w:r w:rsidRPr="002D1353">
        <w:rPr>
          <w:rFonts w:ascii="Times New Roman" w:hAnsi="Times New Roman" w:cs="Times New Roman"/>
          <w:sz w:val="24"/>
          <w:szCs w:val="24"/>
        </w:rPr>
        <w:t>≥67.5%</w:t>
      </w:r>
      <w:r w:rsidRPr="36BE81E9">
        <w:rPr>
          <w:rFonts w:ascii="Times New Roman" w:hAnsi="Times New Roman" w:cs="Times New Roman"/>
          <w:sz w:val="24"/>
          <w:szCs w:val="24"/>
        </w:rPr>
        <w:t>) and Turkey (</w:t>
      </w:r>
      <w:r w:rsidRPr="002D1353">
        <w:rPr>
          <w:rFonts w:ascii="Times New Roman" w:hAnsi="Times New Roman" w:cs="Times New Roman"/>
          <w:sz w:val="24"/>
          <w:szCs w:val="24"/>
        </w:rPr>
        <w:t>≥50%</w:t>
      </w:r>
      <w:r w:rsidRPr="36BE81E9">
        <w:rPr>
          <w:rFonts w:ascii="Times New Roman" w:hAnsi="Times New Roman" w:cs="Times New Roman"/>
          <w:sz w:val="24"/>
          <w:szCs w:val="24"/>
        </w:rPr>
        <w:t>)</w:t>
      </w:r>
    </w:p>
    <w:p w14:paraId="2B716212" w14:textId="2CBE5174" w:rsidR="002D1353" w:rsidRPr="00564ACA" w:rsidRDefault="002D1353" w:rsidP="00564ACA">
      <w:pPr>
        <w:spacing w:after="120" w:line="240" w:lineRule="auto"/>
        <w:jc w:val="both"/>
        <w:rPr>
          <w:rFonts w:ascii="Times New Roman" w:eastAsia="Times New Roman" w:hAnsi="Times New Roman" w:cs="Times New Roman"/>
          <w:sz w:val="24"/>
          <w:szCs w:val="24"/>
        </w:rPr>
      </w:pPr>
    </w:p>
    <w:p w14:paraId="3C60D585" w14:textId="77777777" w:rsidR="005739B7" w:rsidRPr="005742F9" w:rsidRDefault="005739B7" w:rsidP="005739B7">
      <w:pPr>
        <w:numPr>
          <w:ilvl w:val="0"/>
          <w:numId w:val="12"/>
        </w:numPr>
        <w:spacing w:after="120" w:line="240" w:lineRule="auto"/>
        <w:ind w:left="426" w:hanging="426"/>
        <w:rPr>
          <w:rFonts w:ascii="Times New Roman" w:hAnsi="Times New Roman" w:cs="Times New Roman"/>
          <w:b/>
          <w:bCs/>
        </w:rPr>
      </w:pPr>
      <w:r w:rsidRPr="36BE81E9">
        <w:rPr>
          <w:rFonts w:ascii="Times New Roman" w:hAnsi="Times New Roman" w:cs="Times New Roman"/>
          <w:b/>
          <w:bCs/>
        </w:rPr>
        <w:t xml:space="preserve">Assumptions &amp; Risks </w:t>
      </w:r>
    </w:p>
    <w:p w14:paraId="69EC1273" w14:textId="77777777" w:rsidR="005739B7" w:rsidRPr="00C03C2F" w:rsidRDefault="005739B7" w:rsidP="005739B7">
      <w:pPr>
        <w:spacing w:after="120" w:line="240" w:lineRule="auto"/>
        <w:rPr>
          <w:rFonts w:ascii="Times New Roman" w:eastAsia="Calibri" w:hAnsi="Times New Roman" w:cs="Times New Roman"/>
          <w:i/>
          <w:iCs/>
          <w:sz w:val="24"/>
          <w:szCs w:val="24"/>
          <w:u w:val="single"/>
        </w:rPr>
      </w:pPr>
      <w:r w:rsidRPr="36BE81E9">
        <w:rPr>
          <w:rFonts w:ascii="Times New Roman" w:eastAsia="Calibri" w:hAnsi="Times New Roman" w:cs="Times New Roman"/>
          <w:i/>
          <w:iCs/>
          <w:sz w:val="24"/>
          <w:szCs w:val="24"/>
          <w:u w:val="single"/>
        </w:rPr>
        <w:t>Assumptions</w:t>
      </w:r>
    </w:p>
    <w:p w14:paraId="208CBC64" w14:textId="77777777" w:rsidR="005739B7" w:rsidRPr="005742F9" w:rsidRDefault="005739B7" w:rsidP="005739B7">
      <w:pPr>
        <w:spacing w:after="120" w:line="240" w:lineRule="auto"/>
        <w:rPr>
          <w:rFonts w:ascii="Times New Roman" w:hAnsi="Times New Roman" w:cs="Times New Roman"/>
          <w:sz w:val="24"/>
          <w:szCs w:val="24"/>
        </w:rPr>
      </w:pPr>
      <w:r w:rsidRPr="36BE81E9">
        <w:rPr>
          <w:rFonts w:ascii="Times New Roman" w:eastAsia="Calibri" w:hAnsi="Times New Roman" w:cs="Times New Roman"/>
          <w:i/>
          <w:iCs/>
          <w:sz w:val="24"/>
          <w:szCs w:val="24"/>
        </w:rPr>
        <w:t>Public administration reform</w:t>
      </w:r>
    </w:p>
    <w:p w14:paraId="52241069" w14:textId="77777777" w:rsidR="005739B7" w:rsidRPr="005742F9" w:rsidRDefault="005739B7" w:rsidP="005739B7">
      <w:pPr>
        <w:numPr>
          <w:ilvl w:val="0"/>
          <w:numId w:val="4"/>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There is a continuous commitment to public administration reform, including public financial management, steered and coordinated at the highest level of the government.</w:t>
      </w:r>
    </w:p>
    <w:p w14:paraId="4C965BF1" w14:textId="77777777" w:rsidR="005739B7" w:rsidRPr="00146FF2" w:rsidRDefault="005739B7" w:rsidP="005739B7">
      <w:pPr>
        <w:numPr>
          <w:ilvl w:val="0"/>
          <w:numId w:val="4"/>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beneficiaries are committed to upgrading and implementing their public administration and public financial management reform strategies in line with the monitoring results against the Principles of Public Administration and other relevant assessments.</w:t>
      </w:r>
    </w:p>
    <w:p w14:paraId="3F52178C" w14:textId="77777777" w:rsidR="005739B7" w:rsidRPr="00C03C2F" w:rsidRDefault="005739B7" w:rsidP="005739B7">
      <w:pPr>
        <w:spacing w:after="120" w:line="240" w:lineRule="auto"/>
        <w:jc w:val="both"/>
        <w:rPr>
          <w:rFonts w:ascii="Times New Roman" w:eastAsia="Calibri" w:hAnsi="Times New Roman" w:cs="Times New Roman"/>
          <w:i/>
          <w:iCs/>
          <w:sz w:val="24"/>
          <w:szCs w:val="24"/>
        </w:rPr>
      </w:pPr>
      <w:r w:rsidRPr="36BE81E9">
        <w:rPr>
          <w:rFonts w:ascii="Times New Roman" w:eastAsia="Calibri" w:hAnsi="Times New Roman" w:cs="Times New Roman"/>
          <w:i/>
          <w:iCs/>
          <w:sz w:val="24"/>
          <w:szCs w:val="24"/>
        </w:rPr>
        <w:t>Governance at sub-national level</w:t>
      </w:r>
    </w:p>
    <w:p w14:paraId="4B5E3E62" w14:textId="77777777" w:rsidR="005739B7" w:rsidRPr="005742F9" w:rsidRDefault="005739B7" w:rsidP="005739B7">
      <w:pPr>
        <w:numPr>
          <w:ilvl w:val="0"/>
          <w:numId w:val="6"/>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Governments are committed to credible and relevant decentralisation policies and sub-national levels of government are willing to address systematically the identified governance weaknesses.</w:t>
      </w:r>
    </w:p>
    <w:p w14:paraId="798C1E59" w14:textId="77777777" w:rsidR="005739B7" w:rsidRPr="00C03C2F" w:rsidRDefault="005739B7" w:rsidP="005739B7">
      <w:pPr>
        <w:spacing w:after="120" w:line="240" w:lineRule="auto"/>
        <w:rPr>
          <w:rFonts w:ascii="Times New Roman" w:eastAsia="Calibri" w:hAnsi="Times New Roman" w:cs="Times New Roman"/>
          <w:i/>
          <w:iCs/>
          <w:sz w:val="24"/>
          <w:szCs w:val="24"/>
        </w:rPr>
      </w:pPr>
      <w:r w:rsidRPr="36BE81E9">
        <w:rPr>
          <w:rFonts w:ascii="Times New Roman" w:eastAsia="Calibri" w:hAnsi="Times New Roman" w:cs="Times New Roman"/>
          <w:i/>
          <w:iCs/>
          <w:sz w:val="24"/>
          <w:szCs w:val="24"/>
        </w:rPr>
        <w:t>Statistics</w:t>
      </w:r>
    </w:p>
    <w:p w14:paraId="0F7539FD" w14:textId="77777777" w:rsidR="005739B7" w:rsidRPr="005742F9" w:rsidRDefault="005739B7" w:rsidP="005739B7">
      <w:pPr>
        <w:numPr>
          <w:ilvl w:val="0"/>
          <w:numId w:val="6"/>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Statistical institutes will actively engage in defining the statistical requirements and provide methodological support for line institutions to improve their capacity for administrative and statistical data collection and use for decision-making.</w:t>
      </w:r>
    </w:p>
    <w:p w14:paraId="1F3E69EA" w14:textId="77777777" w:rsidR="005739B7" w:rsidRPr="005742F9" w:rsidRDefault="005739B7" w:rsidP="005739B7">
      <w:pPr>
        <w:spacing w:after="120" w:line="240" w:lineRule="auto"/>
        <w:rPr>
          <w:rFonts w:ascii="Times New Roman" w:hAnsi="Times New Roman" w:cs="Times New Roman"/>
          <w:sz w:val="24"/>
          <w:szCs w:val="24"/>
        </w:rPr>
      </w:pPr>
      <w:r w:rsidRPr="36BE81E9">
        <w:rPr>
          <w:rFonts w:ascii="Times New Roman" w:eastAsia="Calibri" w:hAnsi="Times New Roman" w:cs="Times New Roman"/>
          <w:i/>
          <w:iCs/>
          <w:sz w:val="24"/>
          <w:szCs w:val="24"/>
        </w:rPr>
        <w:t>Economic governance</w:t>
      </w:r>
    </w:p>
    <w:p w14:paraId="38720907" w14:textId="77777777" w:rsidR="005739B7" w:rsidRPr="005742F9" w:rsidRDefault="005739B7" w:rsidP="005739B7">
      <w:pPr>
        <w:numPr>
          <w:ilvl w:val="0"/>
          <w:numId w:val="6"/>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There is continuous commitment by beneficiaries towards macroeconomic and financial stability.</w:t>
      </w:r>
    </w:p>
    <w:p w14:paraId="09D13547" w14:textId="77777777" w:rsidR="005739B7" w:rsidRPr="005742F9" w:rsidRDefault="005739B7" w:rsidP="005739B7">
      <w:pPr>
        <w:numPr>
          <w:ilvl w:val="0"/>
          <w:numId w:val="6"/>
        </w:numPr>
        <w:spacing w:after="120" w:line="240" w:lineRule="auto"/>
        <w:rPr>
          <w:rFonts w:ascii="Times New Roman" w:hAnsi="Times New Roman" w:cs="Times New Roman"/>
          <w:sz w:val="24"/>
          <w:szCs w:val="24"/>
        </w:rPr>
      </w:pPr>
      <w:r w:rsidRPr="36BE81E9">
        <w:rPr>
          <w:rFonts w:ascii="Times New Roman" w:hAnsi="Times New Roman" w:cs="Times New Roman"/>
          <w:sz w:val="24"/>
          <w:szCs w:val="24"/>
        </w:rPr>
        <w:t>There is continuous commitment to the implementation of structural reforms designed to boost competitiveness and inclusive growth.</w:t>
      </w:r>
    </w:p>
    <w:p w14:paraId="39F58F34" w14:textId="77777777" w:rsidR="005739B7" w:rsidRPr="00C03C2F" w:rsidRDefault="005739B7" w:rsidP="005739B7">
      <w:pPr>
        <w:numPr>
          <w:ilvl w:val="0"/>
          <w:numId w:val="6"/>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There is continuous commitment to participate in the ERP exercise and to implement the policy guidance as well as the outlined reforms and joint conclusions agreed in this larger process.</w:t>
      </w:r>
    </w:p>
    <w:p w14:paraId="1C839064" w14:textId="77777777" w:rsidR="005739B7" w:rsidRPr="00C03C2F" w:rsidRDefault="005739B7" w:rsidP="005739B7">
      <w:pPr>
        <w:spacing w:after="120" w:line="240" w:lineRule="auto"/>
        <w:rPr>
          <w:rFonts w:ascii="Times New Roman" w:eastAsia="Calibri" w:hAnsi="Times New Roman" w:cs="Times New Roman"/>
          <w:i/>
          <w:iCs/>
          <w:sz w:val="24"/>
          <w:szCs w:val="24"/>
        </w:rPr>
      </w:pPr>
      <w:r w:rsidRPr="36BE81E9">
        <w:rPr>
          <w:rFonts w:ascii="Times New Roman" w:eastAsia="Calibri" w:hAnsi="Times New Roman" w:cs="Times New Roman"/>
          <w:i/>
          <w:iCs/>
          <w:sz w:val="24"/>
          <w:szCs w:val="24"/>
        </w:rPr>
        <w:t>Administrative capacity in sectors/</w:t>
      </w:r>
      <w:r>
        <w:rPr>
          <w:rFonts w:ascii="Times New Roman" w:eastAsia="Calibri" w:hAnsi="Times New Roman" w:cs="Times New Roman"/>
          <w:i/>
          <w:iCs/>
          <w:sz w:val="24"/>
          <w:szCs w:val="24"/>
        </w:rPr>
        <w:t xml:space="preserve">EU </w:t>
      </w:r>
      <w:r w:rsidRPr="36BE81E9">
        <w:rPr>
          <w:rFonts w:ascii="Times New Roman" w:eastAsia="Calibri" w:hAnsi="Times New Roman" w:cs="Times New Roman"/>
          <w:i/>
          <w:iCs/>
          <w:sz w:val="24"/>
          <w:szCs w:val="24"/>
        </w:rPr>
        <w:t>acquis chapters</w:t>
      </w:r>
    </w:p>
    <w:p w14:paraId="7E46FF47" w14:textId="77777777" w:rsidR="005739B7" w:rsidRPr="005742F9" w:rsidRDefault="005739B7" w:rsidP="005739B7">
      <w:pPr>
        <w:numPr>
          <w:ilvl w:val="0"/>
          <w:numId w:val="3"/>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Beneficiaries are committed to address at sector level </w:t>
      </w:r>
      <w:r>
        <w:rPr>
          <w:rFonts w:ascii="Times New Roman" w:eastAsia="Calibri" w:hAnsi="Times New Roman" w:cs="Times New Roman"/>
          <w:sz w:val="24"/>
          <w:szCs w:val="24"/>
        </w:rPr>
        <w:t>(</w:t>
      </w:r>
      <w:r w:rsidRPr="000F553C">
        <w:rPr>
          <w:rFonts w:ascii="Times New Roman" w:eastAsia="Calibri" w:hAnsi="Times New Roman" w:cs="Times New Roman"/>
          <w:sz w:val="24"/>
          <w:szCs w:val="24"/>
        </w:rPr>
        <w:t>from multiple levels of government, to private firms and non-profit entities</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administrative capacity requirements deriving from the ongoing public administration reform efforts.</w:t>
      </w:r>
    </w:p>
    <w:p w14:paraId="04BC346B" w14:textId="77777777" w:rsidR="005739B7" w:rsidRPr="00836B9E" w:rsidRDefault="005739B7" w:rsidP="005739B7">
      <w:pPr>
        <w:numPr>
          <w:ilvl w:val="0"/>
          <w:numId w:val="3"/>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acquis</w:t>
      </w:r>
      <w:r w:rsidRPr="36BE81E9">
        <w:rPr>
          <w:rFonts w:ascii="Times New Roman" w:eastAsia="Calibri" w:hAnsi="Times New Roman" w:cs="Times New Roman"/>
          <w:sz w:val="24"/>
          <w:szCs w:val="24"/>
        </w:rPr>
        <w:t xml:space="preserve"> alignment process increasingly focuses on the quality of the law-making process, including capacity to produce and use data/statistics as the basis of decision-making, capacity to prepare impact assessments and the capacity to ensure systematically inter-institutional and public consultations. </w:t>
      </w:r>
    </w:p>
    <w:p w14:paraId="43339675" w14:textId="77777777" w:rsidR="005739B7" w:rsidRPr="00C03C2F" w:rsidRDefault="005739B7" w:rsidP="005739B7">
      <w:pPr>
        <w:spacing w:after="120" w:line="240" w:lineRule="auto"/>
        <w:rPr>
          <w:rFonts w:ascii="Times New Roman" w:eastAsia="Calibri" w:hAnsi="Times New Roman" w:cs="Times New Roman"/>
          <w:i/>
          <w:iCs/>
          <w:sz w:val="24"/>
          <w:szCs w:val="24"/>
        </w:rPr>
      </w:pPr>
      <w:r w:rsidRPr="36BE81E9">
        <w:rPr>
          <w:rFonts w:ascii="Times New Roman" w:eastAsia="Calibri" w:hAnsi="Times New Roman" w:cs="Times New Roman"/>
          <w:i/>
          <w:iCs/>
          <w:sz w:val="24"/>
          <w:szCs w:val="24"/>
        </w:rPr>
        <w:t xml:space="preserve">Communication </w:t>
      </w:r>
    </w:p>
    <w:p w14:paraId="2D1FD914" w14:textId="77777777" w:rsidR="005739B7" w:rsidRPr="005742F9" w:rsidRDefault="005739B7" w:rsidP="005739B7">
      <w:pPr>
        <w:numPr>
          <w:ilvl w:val="0"/>
          <w:numId w:val="2"/>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Public and media remain interested in EU related information.</w:t>
      </w:r>
    </w:p>
    <w:p w14:paraId="39D78E30" w14:textId="77777777" w:rsidR="005739B7" w:rsidRPr="005742F9" w:rsidRDefault="005739B7" w:rsidP="005739B7">
      <w:pPr>
        <w:numPr>
          <w:ilvl w:val="0"/>
          <w:numId w:val="2"/>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EU accession process remains a political priority for the authorities in the region and for the Member States, with commitment and willingness of all stakeholders to stimulate the debate on EU related issues. </w:t>
      </w:r>
    </w:p>
    <w:p w14:paraId="1D768A93" w14:textId="77777777" w:rsidR="005739B7" w:rsidRPr="005742F9" w:rsidRDefault="005739B7" w:rsidP="005739B7">
      <w:pPr>
        <w:numPr>
          <w:ilvl w:val="0"/>
          <w:numId w:val="2"/>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National authorities have sufficient institutional capacity for communication that is able to provide factual information and manage the understanding and perception of the general public regarding EU accession.</w:t>
      </w:r>
    </w:p>
    <w:p w14:paraId="67AEF9A6" w14:textId="77777777" w:rsidR="005739B7" w:rsidRPr="00C03C2F" w:rsidRDefault="005739B7" w:rsidP="005739B7">
      <w:pPr>
        <w:spacing w:after="120" w:line="240" w:lineRule="auto"/>
        <w:rPr>
          <w:rFonts w:ascii="Times New Roman" w:eastAsia="Calibri" w:hAnsi="Times New Roman" w:cs="Times New Roman"/>
          <w:i/>
          <w:iCs/>
          <w:sz w:val="24"/>
          <w:szCs w:val="24"/>
        </w:rPr>
      </w:pPr>
      <w:r w:rsidRPr="36BE81E9">
        <w:rPr>
          <w:rFonts w:ascii="Times New Roman" w:eastAsia="Calibri" w:hAnsi="Times New Roman" w:cs="Times New Roman"/>
          <w:i/>
          <w:iCs/>
          <w:sz w:val="24"/>
          <w:szCs w:val="24"/>
        </w:rPr>
        <w:t>Good neighbourly relations</w:t>
      </w:r>
    </w:p>
    <w:p w14:paraId="3EAC43C0" w14:textId="77777777" w:rsidR="005739B7" w:rsidRPr="005742F9" w:rsidRDefault="005739B7" w:rsidP="005739B7">
      <w:pPr>
        <w:numPr>
          <w:ilvl w:val="0"/>
          <w:numId w:val="5"/>
        </w:numPr>
        <w:spacing w:after="120" w:line="240" w:lineRule="auto"/>
        <w:jc w:val="both"/>
        <w:rPr>
          <w:rFonts w:ascii="Times New Roman" w:hAnsi="Times New Roman" w:cs="Times New Roman"/>
          <w:sz w:val="24"/>
          <w:szCs w:val="24"/>
        </w:rPr>
      </w:pPr>
      <w:r w:rsidRPr="36BE81E9">
        <w:rPr>
          <w:rFonts w:ascii="Times New Roman" w:eastAsia="Calibri" w:hAnsi="Times New Roman" w:cs="Times New Roman"/>
          <w:sz w:val="24"/>
          <w:szCs w:val="24"/>
        </w:rPr>
        <w:t>Political commitment to strengthen good neighbourly relations and promote mutual understanding;</w:t>
      </w:r>
    </w:p>
    <w:p w14:paraId="71AFEC8C" w14:textId="77777777" w:rsidR="005739B7" w:rsidRPr="00C03C2F" w:rsidRDefault="005739B7" w:rsidP="005739B7">
      <w:pPr>
        <w:spacing w:after="120" w:line="240" w:lineRule="auto"/>
        <w:rPr>
          <w:rFonts w:ascii="Times New Roman" w:eastAsia="Calibri" w:hAnsi="Times New Roman" w:cs="Times New Roman"/>
          <w:i/>
          <w:iCs/>
          <w:sz w:val="24"/>
          <w:szCs w:val="24"/>
          <w:u w:val="single"/>
        </w:rPr>
      </w:pPr>
      <w:r w:rsidRPr="36BE81E9">
        <w:rPr>
          <w:rFonts w:ascii="Times New Roman" w:eastAsia="Calibri" w:hAnsi="Times New Roman" w:cs="Times New Roman"/>
          <w:i/>
          <w:iCs/>
          <w:sz w:val="24"/>
          <w:szCs w:val="24"/>
          <w:u w:val="single"/>
        </w:rPr>
        <w:t>Risks</w:t>
      </w:r>
    </w:p>
    <w:p w14:paraId="0512A1DC"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Primary risk is that cooperation and dialogue with the beneficiaries might be affected due to unstable political situations, the security situation or adverse events, as well as obstruction, lack of political commitment from the partners’ governments or administrations and lack of willingness to engage in necessary reforms. </w:t>
      </w:r>
    </w:p>
    <w:p w14:paraId="36D83716"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There could also be external factors influencing public support for accession process as a whole as well as reforms in the relevant areas. Unresolved bilateral issues can be a major driver of this risk with bilateral political disputes used instrumentally. </w:t>
      </w:r>
    </w:p>
    <w:p w14:paraId="1FC60962"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There is a risk that misinformation and hostile communication on EU policies, objectives and actions have a negative impact on the attainment of the strategic objectives as well as on the implementation of EU assistance. The potential consequence can be a reputational damage for the institution and a negative public image of the EU.</w:t>
      </w:r>
    </w:p>
    <w:p w14:paraId="0B62A589" w14:textId="77777777" w:rsidR="005739B7" w:rsidRPr="005742F9" w:rsidRDefault="005739B7" w:rsidP="005739B7">
      <w:pPr>
        <w:spacing w:after="120" w:line="240" w:lineRule="auto"/>
        <w:jc w:val="both"/>
        <w:rPr>
          <w:rFonts w:ascii="Times New Roman" w:hAnsi="Times New Roman" w:cs="Times New Roman"/>
          <w:sz w:val="24"/>
          <w:szCs w:val="24"/>
        </w:rPr>
      </w:pPr>
    </w:p>
    <w:p w14:paraId="62751D55" w14:textId="77777777" w:rsidR="005739B7" w:rsidRPr="005742F9" w:rsidRDefault="005739B7" w:rsidP="005739B7">
      <w:pPr>
        <w:spacing w:after="120" w:line="240" w:lineRule="auto"/>
        <w:ind w:left="360"/>
        <w:rPr>
          <w:rFonts w:ascii="Times New Roman" w:eastAsia="Calibri" w:hAnsi="Times New Roman" w:cs="Times New Roman"/>
        </w:rPr>
      </w:pPr>
    </w:p>
    <w:p w14:paraId="41F3384B" w14:textId="77777777" w:rsidR="005739B7" w:rsidRPr="005742F9" w:rsidRDefault="005739B7" w:rsidP="005739B7">
      <w:pPr>
        <w:spacing w:after="120"/>
        <w:jc w:val="both"/>
        <w:rPr>
          <w:rFonts w:ascii="Times New Roman" w:hAnsi="Times New Roman" w:cs="Times New Roman"/>
          <w:sz w:val="24"/>
          <w:szCs w:val="24"/>
        </w:rPr>
        <w:sectPr w:rsidR="005739B7" w:rsidRPr="005742F9" w:rsidSect="00897EB2">
          <w:footerReference w:type="even" r:id="rId19"/>
          <w:footerReference w:type="default" r:id="rId20"/>
          <w:pgSz w:w="11906" w:h="16838"/>
          <w:pgMar w:top="1417" w:right="1417" w:bottom="1417" w:left="1417" w:header="708" w:footer="708" w:gutter="0"/>
          <w:cols w:space="708"/>
          <w:docGrid w:linePitch="360"/>
        </w:sectPr>
      </w:pPr>
    </w:p>
    <w:p w14:paraId="2AC37D19" w14:textId="77777777" w:rsidR="005739B7" w:rsidRPr="00173A5B" w:rsidRDefault="005739B7" w:rsidP="005739B7">
      <w:pPr>
        <w:pBdr>
          <w:top w:val="single" w:sz="4" w:space="1" w:color="auto"/>
          <w:left w:val="single" w:sz="4" w:space="1" w:color="auto"/>
          <w:bottom w:val="single" w:sz="4" w:space="1" w:color="auto"/>
          <w:right w:val="single" w:sz="4" w:space="1" w:color="auto"/>
        </w:pBdr>
        <w:spacing w:after="120"/>
        <w:jc w:val="center"/>
        <w:rPr>
          <w:rFonts w:ascii="Times New Roman" w:hAnsi="Times New Roman" w:cs="Times New Roman"/>
          <w:b/>
          <w:color w:val="000000" w:themeColor="text1"/>
          <w:sz w:val="24"/>
        </w:rPr>
      </w:pPr>
    </w:p>
    <w:p w14:paraId="28A2F87B" w14:textId="77777777" w:rsidR="005739B7" w:rsidRPr="00173A5B" w:rsidRDefault="005739B7" w:rsidP="005739B7">
      <w:pPr>
        <w:pStyle w:val="Balk1"/>
        <w:pBdr>
          <w:top w:val="single" w:sz="4" w:space="1" w:color="auto"/>
          <w:left w:val="single" w:sz="4" w:space="1" w:color="auto"/>
          <w:bottom w:val="single" w:sz="4" w:space="1" w:color="auto"/>
          <w:right w:val="single" w:sz="4" w:space="1" w:color="auto"/>
        </w:pBdr>
        <w:jc w:val="center"/>
        <w:rPr>
          <w:rFonts w:ascii="Times New Roman" w:hAnsi="Times New Roman" w:cs="Times New Roman"/>
          <w:b/>
          <w:bCs/>
          <w:color w:val="000000" w:themeColor="text1"/>
        </w:rPr>
      </w:pPr>
      <w:bookmarkStart w:id="16" w:name="_Toc46402481"/>
      <w:bookmarkStart w:id="17" w:name="_Toc46402556"/>
      <w:bookmarkStart w:id="18" w:name="_Toc46480670"/>
      <w:bookmarkStart w:id="19" w:name="_Toc55992237"/>
      <w:bookmarkStart w:id="20" w:name="_Toc56584494"/>
      <w:r w:rsidRPr="36BE81E9">
        <w:rPr>
          <w:rFonts w:ascii="Times New Roman" w:hAnsi="Times New Roman" w:cs="Times New Roman"/>
          <w:b/>
          <w:bCs/>
          <w:color w:val="000000" w:themeColor="text1"/>
        </w:rPr>
        <w:t>WINDOW 3 – GREEN AGENDA AND SUSTAINABLE CONNECTIVITY</w:t>
      </w:r>
      <w:bookmarkEnd w:id="16"/>
      <w:bookmarkEnd w:id="17"/>
      <w:bookmarkEnd w:id="18"/>
      <w:bookmarkEnd w:id="19"/>
      <w:bookmarkEnd w:id="20"/>
    </w:p>
    <w:p w14:paraId="0F235CB4" w14:textId="77777777" w:rsidR="005739B7" w:rsidRPr="00173A5B" w:rsidRDefault="005739B7" w:rsidP="005739B7">
      <w:pPr>
        <w:pBdr>
          <w:top w:val="single" w:sz="4" w:space="1" w:color="auto"/>
          <w:left w:val="single" w:sz="4" w:space="1" w:color="auto"/>
          <w:bottom w:val="single" w:sz="4" w:space="1" w:color="auto"/>
          <w:right w:val="single" w:sz="4" w:space="1" w:color="auto"/>
        </w:pBdr>
        <w:spacing w:after="120"/>
        <w:jc w:val="center"/>
        <w:rPr>
          <w:rFonts w:ascii="Times New Roman" w:hAnsi="Times New Roman" w:cs="Times New Roman"/>
          <w:b/>
          <w:color w:val="000000" w:themeColor="text1"/>
          <w:sz w:val="24"/>
        </w:rPr>
      </w:pPr>
    </w:p>
    <w:p w14:paraId="5AA82CF2" w14:textId="77777777" w:rsidR="005739B7" w:rsidRDefault="005739B7" w:rsidP="005739B7">
      <w:pPr>
        <w:spacing w:after="0"/>
        <w:rPr>
          <w:rFonts w:ascii="Times New Roman" w:hAnsi="Times New Roman" w:cs="Times New Roman"/>
          <w:b/>
          <w:sz w:val="24"/>
          <w:szCs w:val="24"/>
          <w:u w:val="single"/>
        </w:rPr>
      </w:pPr>
    </w:p>
    <w:p w14:paraId="00D12BAA" w14:textId="77777777" w:rsidR="005739B7" w:rsidRDefault="005739B7" w:rsidP="005739B7">
      <w:pPr>
        <w:spacing w:after="0"/>
        <w:rPr>
          <w:rFonts w:ascii="Times New Roman" w:hAnsi="Times New Roman" w:cs="Times New Roman"/>
          <w:b/>
          <w:sz w:val="24"/>
          <w:szCs w:val="24"/>
          <w:u w:val="single"/>
        </w:rPr>
      </w:pPr>
    </w:p>
    <w:p w14:paraId="7384D3E0" w14:textId="77777777" w:rsidR="005739B7" w:rsidRPr="005742F9" w:rsidRDefault="005739B7" w:rsidP="005739B7">
      <w:pPr>
        <w:spacing w:after="0"/>
        <w:rPr>
          <w:rFonts w:ascii="Times New Roman" w:hAnsi="Times New Roman" w:cs="Times New Roman"/>
          <w:b/>
          <w:sz w:val="24"/>
          <w:szCs w:val="24"/>
          <w:u w:val="single"/>
        </w:rPr>
      </w:pPr>
    </w:p>
    <w:p w14:paraId="49C11E47" w14:textId="77777777" w:rsidR="005739B7" w:rsidRPr="005742F9" w:rsidRDefault="005739B7" w:rsidP="005739B7">
      <w:pPr>
        <w:numPr>
          <w:ilvl w:val="0"/>
          <w:numId w:val="11"/>
        </w:numPr>
        <w:spacing w:after="120"/>
        <w:ind w:left="426" w:hanging="426"/>
        <w:rPr>
          <w:rFonts w:ascii="Times New Roman" w:hAnsi="Times New Roman" w:cs="Times New Roman"/>
          <w:b/>
          <w:bCs/>
        </w:rPr>
      </w:pPr>
      <w:r w:rsidRPr="36BE81E9">
        <w:rPr>
          <w:rFonts w:ascii="Times New Roman" w:hAnsi="Times New Roman" w:cs="Times New Roman"/>
          <w:b/>
          <w:bCs/>
        </w:rPr>
        <w:t>Context Analysis</w:t>
      </w:r>
    </w:p>
    <w:p w14:paraId="10B3705F" w14:textId="0093D316"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 </w:t>
      </w:r>
      <w:r w:rsidR="00DF29BD">
        <w:rPr>
          <w:rFonts w:ascii="Times New Roman" w:hAnsi="Times New Roman" w:cs="Times New Roman"/>
          <w:sz w:val="24"/>
          <w:szCs w:val="24"/>
        </w:rPr>
        <w:t xml:space="preserve">The European Union </w:t>
      </w:r>
      <w:r w:rsidRPr="36BE81E9">
        <w:rPr>
          <w:rFonts w:ascii="Times New Roman" w:hAnsi="Times New Roman" w:cs="Times New Roman"/>
          <w:sz w:val="24"/>
          <w:szCs w:val="24"/>
        </w:rPr>
        <w:t xml:space="preserve">must lead the transition to </w:t>
      </w:r>
      <w:r>
        <w:rPr>
          <w:rFonts w:ascii="Times New Roman" w:hAnsi="Times New Roman" w:cs="Times New Roman"/>
          <w:sz w:val="24"/>
          <w:szCs w:val="24"/>
        </w:rPr>
        <w:t xml:space="preserve">climate neutrality, </w:t>
      </w:r>
      <w:r w:rsidRPr="36BE81E9">
        <w:rPr>
          <w:rFonts w:ascii="Times New Roman" w:hAnsi="Times New Roman" w:cs="Times New Roman"/>
          <w:sz w:val="24"/>
          <w:szCs w:val="24"/>
        </w:rPr>
        <w:t>a healthy planet and a</w:t>
      </w:r>
      <w:r w:rsidR="00C1653F">
        <w:rPr>
          <w:rFonts w:ascii="Times New Roman" w:hAnsi="Times New Roman" w:cs="Times New Roman"/>
          <w:sz w:val="24"/>
          <w:szCs w:val="24"/>
        </w:rPr>
        <w:t xml:space="preserve"> globally connected Europe</w:t>
      </w:r>
      <w:r w:rsidRPr="36BE81E9">
        <w:rPr>
          <w:rFonts w:ascii="Times New Roman" w:hAnsi="Times New Roman" w:cs="Times New Roman"/>
          <w:sz w:val="24"/>
          <w:szCs w:val="24"/>
        </w:rPr>
        <w:t>. It can only do so by bringing people together and upgrading our unique social market economy to fit today’s new ambitions. The European Green Deal</w:t>
      </w:r>
      <w:r>
        <w:rPr>
          <w:rFonts w:ascii="Times New Roman" w:hAnsi="Times New Roman" w:cs="Times New Roman"/>
          <w:sz w:val="24"/>
          <w:szCs w:val="24"/>
        </w:rPr>
        <w:t xml:space="preserve"> together with</w:t>
      </w:r>
      <w:r w:rsidR="003B173F">
        <w:rPr>
          <w:rFonts w:ascii="Times New Roman" w:hAnsi="Times New Roman" w:cs="Times New Roman"/>
          <w:sz w:val="24"/>
          <w:szCs w:val="24"/>
        </w:rPr>
        <w:t xml:space="preserve"> global connectivity communications</w:t>
      </w:r>
      <w:r w:rsidR="004B2EC0">
        <w:rPr>
          <w:rStyle w:val="DipnotBavurusu"/>
          <w:rFonts w:ascii="Times New Roman" w:hAnsi="Times New Roman" w:cs="Times New Roman"/>
          <w:sz w:val="24"/>
          <w:szCs w:val="24"/>
        </w:rPr>
        <w:footnoteReference w:id="31"/>
      </w:r>
      <w:r>
        <w:rPr>
          <w:rFonts w:ascii="Times New Roman" w:hAnsi="Times New Roman" w:cs="Times New Roman"/>
          <w:sz w:val="24"/>
          <w:szCs w:val="24"/>
        </w:rPr>
        <w:t xml:space="preserve"> </w:t>
      </w:r>
      <w:r w:rsidR="008E280D">
        <w:rPr>
          <w:rFonts w:ascii="Times New Roman" w:hAnsi="Times New Roman" w:cs="Times New Roman"/>
          <w:sz w:val="24"/>
          <w:szCs w:val="24"/>
        </w:rPr>
        <w:t xml:space="preserve">and the </w:t>
      </w:r>
      <w:r>
        <w:rPr>
          <w:rFonts w:ascii="Times New Roman" w:hAnsi="Times New Roman" w:cs="Times New Roman"/>
          <w:sz w:val="24"/>
          <w:szCs w:val="24"/>
        </w:rPr>
        <w:t>Economic and Investment Plan</w:t>
      </w:r>
      <w:r w:rsidRPr="36BE81E9">
        <w:rPr>
          <w:rFonts w:ascii="Times New Roman" w:hAnsi="Times New Roman" w:cs="Times New Roman"/>
          <w:sz w:val="24"/>
          <w:szCs w:val="24"/>
        </w:rPr>
        <w:t xml:space="preserve"> </w:t>
      </w:r>
      <w:r>
        <w:rPr>
          <w:rFonts w:ascii="Times New Roman" w:hAnsi="Times New Roman" w:cs="Times New Roman"/>
          <w:sz w:val="24"/>
          <w:szCs w:val="24"/>
        </w:rPr>
        <w:t xml:space="preserve">for the Western Balkans, including the accompanying </w:t>
      </w:r>
      <w:r w:rsidRPr="00FA3205">
        <w:rPr>
          <w:rFonts w:ascii="Times New Roman" w:hAnsi="Times New Roman" w:cs="Times New Roman"/>
          <w:sz w:val="24"/>
          <w:szCs w:val="24"/>
        </w:rPr>
        <w:t>Guidelines for the Implementation of the Green Agenda for the Western Balkans</w:t>
      </w:r>
      <w:r>
        <w:rPr>
          <w:rFonts w:ascii="Times New Roman" w:hAnsi="Times New Roman" w:cs="Times New Roman"/>
          <w:sz w:val="24"/>
          <w:szCs w:val="24"/>
        </w:rPr>
        <w:t xml:space="preserve">, </w:t>
      </w:r>
      <w:r w:rsidRPr="36BE81E9">
        <w:rPr>
          <w:rFonts w:ascii="Times New Roman" w:hAnsi="Times New Roman" w:cs="Times New Roman"/>
          <w:sz w:val="24"/>
          <w:szCs w:val="24"/>
        </w:rPr>
        <w:t>will provide a renewed commitment and a new strategic framework to achieve this global objective.</w:t>
      </w:r>
      <w:r>
        <w:rPr>
          <w:rFonts w:ascii="Times New Roman" w:hAnsi="Times New Roman" w:cs="Times New Roman"/>
          <w:sz w:val="24"/>
          <w:szCs w:val="24"/>
        </w:rPr>
        <w:t xml:space="preserve"> </w:t>
      </w:r>
    </w:p>
    <w:p w14:paraId="4EEAB98A" w14:textId="0BE8810E"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There is considerable scope for the IPA III beneficiaries to embark on a green agenda</w:t>
      </w:r>
      <w:r w:rsidR="008E280D" w:rsidRPr="008E280D">
        <w:rPr>
          <w:rFonts w:ascii="Times New Roman" w:hAnsi="Times New Roman" w:cs="Times New Roman"/>
          <w:sz w:val="24"/>
          <w:szCs w:val="24"/>
        </w:rPr>
        <w:t xml:space="preserve"> </w:t>
      </w:r>
      <w:r w:rsidR="008E280D">
        <w:rPr>
          <w:rFonts w:ascii="Times New Roman" w:hAnsi="Times New Roman" w:cs="Times New Roman"/>
          <w:sz w:val="24"/>
          <w:szCs w:val="24"/>
        </w:rPr>
        <w:t>and sustainable connectivity</w:t>
      </w:r>
      <w:r w:rsidRPr="36BE81E9">
        <w:rPr>
          <w:rFonts w:ascii="Times New Roman" w:hAnsi="Times New Roman" w:cs="Times New Roman"/>
          <w:sz w:val="24"/>
          <w:szCs w:val="24"/>
        </w:rPr>
        <w:t xml:space="preserve"> to </w:t>
      </w:r>
      <w:r w:rsidR="00C51A58">
        <w:rPr>
          <w:rFonts w:ascii="Times New Roman" w:hAnsi="Times New Roman" w:cs="Times New Roman"/>
          <w:sz w:val="24"/>
          <w:szCs w:val="24"/>
        </w:rPr>
        <w:t xml:space="preserve">decarbonise in a whole-of-economy approach: </w:t>
      </w:r>
      <w:r w:rsidRPr="36BE81E9">
        <w:rPr>
          <w:rFonts w:ascii="Times New Roman" w:hAnsi="Times New Roman" w:cs="Times New Roman"/>
          <w:sz w:val="24"/>
          <w:szCs w:val="24"/>
        </w:rPr>
        <w:t>improve energy efficiency, increase the share of renewable energy sources</w:t>
      </w:r>
      <w:r>
        <w:rPr>
          <w:rFonts w:ascii="Times New Roman" w:hAnsi="Times New Roman" w:cs="Times New Roman"/>
          <w:sz w:val="24"/>
          <w:szCs w:val="24"/>
        </w:rPr>
        <w:t>, assist beneficiaries in attaining the Sustainable Development Goals</w:t>
      </w:r>
      <w:r w:rsidRPr="36BE81E9">
        <w:rPr>
          <w:rFonts w:ascii="Times New Roman" w:hAnsi="Times New Roman" w:cs="Times New Roman"/>
          <w:sz w:val="24"/>
          <w:szCs w:val="24"/>
        </w:rPr>
        <w:t xml:space="preserve"> and address other environmental issues, </w:t>
      </w:r>
      <w:r>
        <w:rPr>
          <w:rFonts w:ascii="Times New Roman" w:hAnsi="Times New Roman" w:cs="Times New Roman"/>
          <w:sz w:val="24"/>
          <w:szCs w:val="24"/>
        </w:rPr>
        <w:t>such as, greening of transport</w:t>
      </w:r>
      <w:r w:rsidR="00C30AD7">
        <w:rPr>
          <w:rFonts w:ascii="Times New Roman" w:hAnsi="Times New Roman" w:cs="Times New Roman"/>
          <w:sz w:val="24"/>
          <w:szCs w:val="24"/>
        </w:rPr>
        <w:t>, including marine transport,</w:t>
      </w:r>
      <w:r>
        <w:rPr>
          <w:rFonts w:ascii="Times New Roman" w:hAnsi="Times New Roman" w:cs="Times New Roman"/>
          <w:sz w:val="24"/>
          <w:szCs w:val="24"/>
        </w:rPr>
        <w:t xml:space="preserve"> and food production, advancing</w:t>
      </w:r>
      <w:r>
        <w:rPr>
          <w:rFonts w:ascii="Times New Roman" w:hAnsi="Times New Roman" w:cs="Times New Roman"/>
          <w:sz w:val="24"/>
          <w:szCs w:val="24"/>
          <w:lang w:val="en-CA"/>
        </w:rPr>
        <w:t xml:space="preserve"> the efficient use of resources, reverting biodiversity loss and cutting pollution</w:t>
      </w:r>
      <w:r w:rsidR="00C30AD7">
        <w:rPr>
          <w:rFonts w:ascii="Times New Roman" w:hAnsi="Times New Roman" w:cs="Times New Roman"/>
          <w:sz w:val="24"/>
          <w:szCs w:val="24"/>
          <w:lang w:val="en-CA"/>
        </w:rPr>
        <w:t>, including marine pollution</w:t>
      </w:r>
      <w:r w:rsidRPr="36BE81E9">
        <w:rPr>
          <w:rFonts w:ascii="Times New Roman" w:hAnsi="Times New Roman" w:cs="Times New Roman"/>
          <w:sz w:val="24"/>
          <w:szCs w:val="24"/>
        </w:rPr>
        <w:t>.</w:t>
      </w:r>
      <w:r>
        <w:rPr>
          <w:rFonts w:ascii="Times New Roman" w:hAnsi="Times New Roman" w:cs="Times New Roman"/>
          <w:sz w:val="24"/>
          <w:szCs w:val="24"/>
        </w:rPr>
        <w:t xml:space="preserve"> It will also be important to improve </w:t>
      </w:r>
      <w:r w:rsidRPr="00FA05B6">
        <w:rPr>
          <w:rFonts w:ascii="Times New Roman" w:hAnsi="Times New Roman" w:cs="Times New Roman"/>
          <w:sz w:val="24"/>
          <w:szCs w:val="24"/>
        </w:rPr>
        <w:t>the sustainable production of raw materials needed for the green transition and climate-neutral economy</w:t>
      </w:r>
      <w:r w:rsidR="00C30AD7">
        <w:rPr>
          <w:rFonts w:ascii="Times New Roman" w:hAnsi="Times New Roman" w:cs="Times New Roman"/>
          <w:sz w:val="24"/>
          <w:szCs w:val="24"/>
        </w:rPr>
        <w:t>.</w:t>
      </w:r>
      <w:r w:rsidRPr="36BE81E9">
        <w:rPr>
          <w:rFonts w:ascii="Times New Roman" w:hAnsi="Times New Roman" w:cs="Times New Roman"/>
          <w:sz w:val="24"/>
          <w:szCs w:val="24"/>
        </w:rPr>
        <w:t xml:space="preserve"> Beneficiaries should shift their economic model to resource-efficient, safe, and sustainable low-carbon economies in line with the wider EU targets for climate action and environmental protection. In doing so, climate change mitigation and adaptation can be achieved and higher standards of environment and human health protection, together with a sustainable</w:t>
      </w:r>
      <w:r>
        <w:rPr>
          <w:rFonts w:ascii="Times New Roman" w:hAnsi="Times New Roman" w:cs="Times New Roman"/>
          <w:sz w:val="24"/>
          <w:szCs w:val="24"/>
        </w:rPr>
        <w:t xml:space="preserve"> extraction and</w:t>
      </w:r>
      <w:r w:rsidRPr="36BE81E9">
        <w:rPr>
          <w:rFonts w:ascii="Times New Roman" w:hAnsi="Times New Roman" w:cs="Times New Roman"/>
          <w:sz w:val="24"/>
          <w:szCs w:val="24"/>
        </w:rPr>
        <w:t xml:space="preserve"> utilisation of natural resources, can be attained. This would not only directly benefit the health and well-being of the citizens, but also make the region attractive for investments and tourism, and tap on the significant economic potential of green growth</w:t>
      </w:r>
      <w:r w:rsidR="00C30AD7">
        <w:rPr>
          <w:rFonts w:ascii="Times New Roman" w:hAnsi="Times New Roman" w:cs="Times New Roman"/>
          <w:sz w:val="24"/>
          <w:szCs w:val="24"/>
        </w:rPr>
        <w:t xml:space="preserve"> and sustainable blue economy</w:t>
      </w:r>
      <w:r>
        <w:rPr>
          <w:rFonts w:ascii="Times New Roman" w:hAnsi="Times New Roman" w:cs="Times New Roman"/>
          <w:sz w:val="24"/>
          <w:szCs w:val="24"/>
        </w:rPr>
        <w:t xml:space="preserve">, </w:t>
      </w:r>
      <w:r w:rsidRPr="36BE81E9">
        <w:rPr>
          <w:rFonts w:ascii="Times New Roman" w:hAnsi="Times New Roman" w:cs="Times New Roman"/>
          <w:sz w:val="24"/>
          <w:szCs w:val="24"/>
        </w:rPr>
        <w:t>the circular economy</w:t>
      </w:r>
      <w:r>
        <w:rPr>
          <w:rFonts w:ascii="Times New Roman" w:hAnsi="Times New Roman" w:cs="Times New Roman"/>
          <w:sz w:val="24"/>
          <w:szCs w:val="24"/>
        </w:rPr>
        <w:t xml:space="preserve"> </w:t>
      </w:r>
      <w:r w:rsidRPr="00FA05B6">
        <w:rPr>
          <w:rFonts w:ascii="Times New Roman" w:hAnsi="Times New Roman" w:cs="Times New Roman"/>
          <w:sz w:val="24"/>
          <w:szCs w:val="24"/>
        </w:rPr>
        <w:t>and integration of EU and Western Balkan industrial value chains</w:t>
      </w:r>
      <w:r w:rsidRPr="36BE81E9">
        <w:rPr>
          <w:rFonts w:ascii="Times New Roman" w:hAnsi="Times New Roman" w:cs="Times New Roman"/>
          <w:sz w:val="24"/>
          <w:szCs w:val="24"/>
        </w:rPr>
        <w:t xml:space="preserve">. </w:t>
      </w:r>
    </w:p>
    <w:p w14:paraId="1DDCB27C" w14:textId="10B6A8A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Investing in nature protection and restoration</w:t>
      </w:r>
      <w:r w:rsidR="00C30AD7">
        <w:rPr>
          <w:rFonts w:ascii="Times New Roman" w:hAnsi="Times New Roman" w:cs="Times New Roman"/>
          <w:sz w:val="24"/>
          <w:szCs w:val="24"/>
        </w:rPr>
        <w:t>, including in coastal ecosystems</w:t>
      </w:r>
      <w:r w:rsidRPr="36BE81E9">
        <w:rPr>
          <w:rFonts w:ascii="Times New Roman" w:hAnsi="Times New Roman" w:cs="Times New Roman"/>
          <w:sz w:val="24"/>
          <w:szCs w:val="24"/>
        </w:rPr>
        <w:t xml:space="preserve"> </w:t>
      </w:r>
      <w:r w:rsidR="008E280D">
        <w:rPr>
          <w:rFonts w:ascii="Times New Roman" w:hAnsi="Times New Roman" w:cs="Times New Roman"/>
          <w:sz w:val="24"/>
          <w:szCs w:val="24"/>
        </w:rPr>
        <w:t>as well as connectivity infrastructure</w:t>
      </w:r>
      <w:r w:rsidR="008E280D" w:rsidRPr="36BE81E9">
        <w:rPr>
          <w:rFonts w:ascii="Times New Roman" w:hAnsi="Times New Roman" w:cs="Times New Roman"/>
          <w:sz w:val="24"/>
          <w:szCs w:val="24"/>
        </w:rPr>
        <w:t xml:space="preserve"> </w:t>
      </w:r>
      <w:r w:rsidRPr="36BE81E9">
        <w:rPr>
          <w:rFonts w:ascii="Times New Roman" w:hAnsi="Times New Roman" w:cs="Times New Roman"/>
          <w:sz w:val="24"/>
          <w:szCs w:val="24"/>
        </w:rPr>
        <w:t>will also be critical for Europe’s economic recovery from the COVID-19 crisis and is considered key to boosting resilience and preventing the emergence and spread of future outbreaks. Reducing the environmental and climate footprint of food systems will strengthen the capacity of food value chains to face future challenges.</w:t>
      </w:r>
      <w:r>
        <w:rPr>
          <w:rFonts w:ascii="Times New Roman" w:hAnsi="Times New Roman" w:cs="Times New Roman"/>
          <w:sz w:val="24"/>
          <w:szCs w:val="24"/>
        </w:rPr>
        <w:t xml:space="preserve"> </w:t>
      </w:r>
      <w:r w:rsidR="001469B0">
        <w:rPr>
          <w:rFonts w:ascii="Times New Roman" w:hAnsi="Times New Roman" w:cs="Times New Roman"/>
          <w:sz w:val="24"/>
          <w:szCs w:val="24"/>
        </w:rPr>
        <w:t>The green and digital transformations go hand in hand. On the one hand</w:t>
      </w:r>
      <w:r w:rsidR="00EF5AE6">
        <w:rPr>
          <w:rFonts w:ascii="Times New Roman" w:hAnsi="Times New Roman" w:cs="Times New Roman"/>
          <w:sz w:val="24"/>
          <w:szCs w:val="24"/>
        </w:rPr>
        <w:t>,</w:t>
      </w:r>
      <w:r w:rsidR="001469B0">
        <w:rPr>
          <w:rFonts w:ascii="Times New Roman" w:hAnsi="Times New Roman" w:cs="Times New Roman"/>
          <w:sz w:val="24"/>
          <w:szCs w:val="24"/>
        </w:rPr>
        <w:t xml:space="preserve">  c</w:t>
      </w:r>
      <w:r>
        <w:rPr>
          <w:rFonts w:ascii="Times New Roman" w:hAnsi="Times New Roman" w:cs="Times New Roman"/>
          <w:sz w:val="24"/>
          <w:szCs w:val="24"/>
        </w:rPr>
        <w:t>onsidering its environmental footprint, there is also scope for a</w:t>
      </w:r>
      <w:r w:rsidRPr="0085659D">
        <w:rPr>
          <w:rFonts w:ascii="Times New Roman" w:hAnsi="Times New Roman" w:cs="Times New Roman"/>
          <w:sz w:val="24"/>
          <w:szCs w:val="24"/>
        </w:rPr>
        <w:t xml:space="preserve"> green transformation</w:t>
      </w:r>
      <w:r>
        <w:rPr>
          <w:rFonts w:ascii="Times New Roman" w:hAnsi="Times New Roman" w:cs="Times New Roman"/>
          <w:sz w:val="24"/>
          <w:szCs w:val="24"/>
        </w:rPr>
        <w:t xml:space="preserve"> of the </w:t>
      </w:r>
      <w:r w:rsidR="001469B0">
        <w:rPr>
          <w:rFonts w:ascii="Times New Roman" w:hAnsi="Times New Roman" w:cs="Times New Roman"/>
          <w:sz w:val="24"/>
          <w:szCs w:val="24"/>
        </w:rPr>
        <w:t xml:space="preserve">digital </w:t>
      </w:r>
      <w:r>
        <w:rPr>
          <w:rFonts w:ascii="Times New Roman" w:hAnsi="Times New Roman" w:cs="Times New Roman"/>
          <w:sz w:val="24"/>
          <w:szCs w:val="24"/>
        </w:rPr>
        <w:t xml:space="preserve"> sector</w:t>
      </w:r>
      <w:r w:rsidRPr="0085659D">
        <w:rPr>
          <w:rFonts w:ascii="Times New Roman" w:hAnsi="Times New Roman" w:cs="Times New Roman"/>
          <w:sz w:val="24"/>
          <w:szCs w:val="24"/>
        </w:rPr>
        <w:t>.</w:t>
      </w:r>
      <w:r w:rsidR="001469B0" w:rsidRPr="001469B0">
        <w:rPr>
          <w:rFonts w:ascii="Times New Roman" w:hAnsi="Times New Roman" w:cs="Times New Roman"/>
          <w:sz w:val="24"/>
          <w:szCs w:val="24"/>
        </w:rPr>
        <w:t xml:space="preserve"> </w:t>
      </w:r>
      <w:r w:rsidR="001469B0">
        <w:rPr>
          <w:rFonts w:ascii="Times New Roman" w:hAnsi="Times New Roman" w:cs="Times New Roman"/>
          <w:sz w:val="24"/>
          <w:szCs w:val="24"/>
        </w:rPr>
        <w:t>On the other hand, using digital technologies is also key to meeting the climate targets.</w:t>
      </w:r>
    </w:p>
    <w:p w14:paraId="36B8003C"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Crucial for achieving sustainable economic development is to reach higher levels of diversification and innovation in both urban and rural areas</w:t>
      </w:r>
      <w:r>
        <w:rPr>
          <w:rFonts w:ascii="Times New Roman" w:hAnsi="Times New Roman" w:cs="Times New Roman"/>
          <w:sz w:val="24"/>
          <w:szCs w:val="24"/>
        </w:rPr>
        <w:t>, as well as coastal and insular communities</w:t>
      </w:r>
      <w:r w:rsidRPr="36BE81E9">
        <w:rPr>
          <w:rFonts w:ascii="Times New Roman" w:hAnsi="Times New Roman" w:cs="Times New Roman"/>
          <w:sz w:val="24"/>
          <w:szCs w:val="24"/>
        </w:rPr>
        <w:t>. The economic diversification is of the essence for the coal regions in transition, since de-carbonising the economy brings together severe threats to the economic viability of the entire region. This should be accompanied by investments in infrastructure (energy, transport, water and environment, digital agenda), and comprehensive action to mitigate and adapt to climate change in order to shift to a low-carbon and climate resilient development path. Perceived corruption in the renewables incentives systems endangers public acceptance of the whole transition to an energy-efficient, renewables-based energy system. This urgently needs to be addressed by switching to a more transparent renewables support system, in line with the EU’s Guidelines on State Aid for Environmental Protection and Energy</w:t>
      </w:r>
      <w:r>
        <w:rPr>
          <w:rStyle w:val="DipnotBavurusu"/>
          <w:rFonts w:ascii="Times New Roman" w:hAnsi="Times New Roman" w:cs="Times New Roman"/>
          <w:sz w:val="24"/>
          <w:szCs w:val="24"/>
        </w:rPr>
        <w:footnoteReference w:id="32"/>
      </w:r>
      <w:r w:rsidRPr="36BE81E9">
        <w:rPr>
          <w:rFonts w:ascii="Times New Roman" w:hAnsi="Times New Roman" w:cs="Times New Roman"/>
          <w:sz w:val="24"/>
          <w:szCs w:val="24"/>
        </w:rPr>
        <w:t xml:space="preserve">, to ensure affordable and proportionate incentives. </w:t>
      </w:r>
    </w:p>
    <w:p w14:paraId="4BEDD8AF" w14:textId="698F755A"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For the IPA III beneficiaries to reap all the benefits from a massive injection of renewable energy in the system (energy security, affordability, sustainability and reliability) a </w:t>
      </w:r>
      <w:r w:rsidR="00E67B9B" w:rsidRPr="36BE81E9">
        <w:rPr>
          <w:rFonts w:ascii="Times New Roman" w:hAnsi="Times New Roman" w:cs="Times New Roman"/>
          <w:sz w:val="24"/>
          <w:szCs w:val="24"/>
        </w:rPr>
        <w:t>fully functional</w:t>
      </w:r>
      <w:r w:rsidRPr="36BE81E9">
        <w:rPr>
          <w:rFonts w:ascii="Times New Roman" w:hAnsi="Times New Roman" w:cs="Times New Roman"/>
          <w:sz w:val="24"/>
          <w:szCs w:val="24"/>
        </w:rPr>
        <w:t xml:space="preserve"> regional energy market has to be set up. This requires a set of institutions and regulations in place that have to be designed and implemented by the different governments. However, the final objective is to have the regional energy market integrated within the EU internal market, so that the full potential of the continental resources can be harnessed. </w:t>
      </w:r>
      <w:r>
        <w:rPr>
          <w:rFonts w:ascii="Times New Roman" w:hAnsi="Times New Roman" w:cs="Times New Roman"/>
          <w:sz w:val="24"/>
          <w:szCs w:val="24"/>
        </w:rPr>
        <w:br/>
      </w:r>
      <w:r w:rsidRPr="36BE81E9">
        <w:rPr>
          <w:rFonts w:ascii="Times New Roman" w:hAnsi="Times New Roman" w:cs="Times New Roman"/>
          <w:sz w:val="24"/>
          <w:szCs w:val="24"/>
        </w:rPr>
        <w:t xml:space="preserve">Even though some progress has been made in the adoption and implementation of the EU </w:t>
      </w:r>
      <w:r w:rsidRPr="009F6272">
        <w:rPr>
          <w:rFonts w:ascii="Times New Roman" w:hAnsi="Times New Roman" w:cs="Times New Roman"/>
          <w:i/>
          <w:sz w:val="24"/>
          <w:szCs w:val="24"/>
        </w:rPr>
        <w:t>acquis</w:t>
      </w:r>
      <w:r w:rsidRPr="36BE81E9">
        <w:rPr>
          <w:rFonts w:ascii="Times New Roman" w:hAnsi="Times New Roman" w:cs="Times New Roman"/>
          <w:sz w:val="24"/>
          <w:szCs w:val="24"/>
        </w:rPr>
        <w:t>, it is insufficient and unevenly distributed. Therefore, an accelerated uptake is of the essence.</w:t>
      </w:r>
      <w:r>
        <w:rPr>
          <w:rFonts w:ascii="Times New Roman" w:hAnsi="Times New Roman" w:cs="Times New Roman"/>
          <w:sz w:val="24"/>
          <w:szCs w:val="24"/>
        </w:rPr>
        <w:t xml:space="preserve"> </w:t>
      </w:r>
      <w:r w:rsidRPr="36BE81E9">
        <w:rPr>
          <w:rFonts w:ascii="Times New Roman" w:hAnsi="Times New Roman" w:cs="Times New Roman"/>
          <w:sz w:val="24"/>
          <w:szCs w:val="24"/>
        </w:rPr>
        <w:t>In particular, efforts have to be made in order to put in place a carbon price mechanism, ideally an</w:t>
      </w:r>
      <w:r>
        <w:rPr>
          <w:rFonts w:ascii="Times New Roman" w:hAnsi="Times New Roman" w:cs="Times New Roman"/>
          <w:sz w:val="24"/>
          <w:szCs w:val="24"/>
        </w:rPr>
        <w:t xml:space="preserve"> Emission Trading System (ETS), </w:t>
      </w:r>
      <w:r w:rsidRPr="36BE81E9">
        <w:rPr>
          <w:rFonts w:ascii="Times New Roman" w:hAnsi="Times New Roman" w:cs="Times New Roman"/>
          <w:sz w:val="24"/>
          <w:szCs w:val="24"/>
        </w:rPr>
        <w:t xml:space="preserve">that creates a level playing field for all the actors, both inside and outside the EU. </w:t>
      </w:r>
    </w:p>
    <w:p w14:paraId="7E9E9813" w14:textId="2448BDAB"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Internalising the carbon price will turn investments in coal-fired power plants non-competitive, effectively opening options to cleaner fuels</w:t>
      </w:r>
      <w:r w:rsidR="003751E0">
        <w:rPr>
          <w:rFonts w:ascii="Times New Roman" w:hAnsi="Times New Roman" w:cs="Times New Roman"/>
          <w:sz w:val="24"/>
          <w:szCs w:val="24"/>
        </w:rPr>
        <w:t xml:space="preserve">. </w:t>
      </w:r>
      <w:r w:rsidR="003751E0" w:rsidRPr="00E30006">
        <w:rPr>
          <w:rFonts w:ascii="Times New Roman" w:hAnsi="Times New Roman" w:cs="Times New Roman"/>
          <w:sz w:val="24"/>
          <w:szCs w:val="24"/>
        </w:rPr>
        <w:t>While promoting renewables-based power generation remains the medium term priority, in regions heavily dependent on coal, whenever there is no technologically and economically feasible low-carbon alternative, gas could playa role as transition fuel for a fast reduction of greenhouse gas emissions and for curbing air pollution, while bringing also benefits in terms of energy diversification and providing flexibility to the electricity grid that can help integrate variable renewable generation capacities. In order to accelerate the clean energy transition and avoid lock in effects and inefficient investment, the most effective and appropriate way forward should be identified with each partner, taking into account the specific circumstances. The potential to decrease carbon intensity of gas network should be assessed, methane leakage avoided and all new gas infrastructure need to be future-proof and, over the medium to long term, be shifted from transporting natural gas to renewable gas or hydrogen, as soon as they are available and competitive.</w:t>
      </w:r>
      <w:r w:rsidR="0033538E">
        <w:rPr>
          <w:rFonts w:ascii="Times New Roman" w:hAnsi="Times New Roman" w:cs="Times New Roman"/>
          <w:sz w:val="24"/>
          <w:szCs w:val="24"/>
        </w:rPr>
        <w:t xml:space="preserve"> This</w:t>
      </w:r>
      <w:r w:rsidRPr="36BE81E9">
        <w:rPr>
          <w:rFonts w:ascii="Times New Roman" w:hAnsi="Times New Roman" w:cs="Times New Roman"/>
          <w:sz w:val="24"/>
          <w:szCs w:val="24"/>
        </w:rPr>
        <w:t xml:space="preserve"> can help deliver low-carbon energy sources in the longer term and serve sectors that are difficult to decarbonise through direct electrification. </w:t>
      </w:r>
    </w:p>
    <w:p w14:paraId="253CFD53" w14:textId="15A10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A perspective on energy system integration is key in this respect, because a green recovery plan requires both investments in more clean energy supply as well as key investments in the transport, industry, and buildings sectors to make these more efficient and compatible with renewable resources. Investing in the development and deployment of clean technologies</w:t>
      </w:r>
      <w:r>
        <w:rPr>
          <w:rFonts w:ascii="Times New Roman" w:hAnsi="Times New Roman" w:cs="Times New Roman"/>
          <w:sz w:val="24"/>
          <w:szCs w:val="24"/>
        </w:rPr>
        <w:t xml:space="preserve"> alongside other types of renewables like wind and solar</w:t>
      </w:r>
      <w:r w:rsidRPr="36BE81E9">
        <w:rPr>
          <w:rFonts w:ascii="Times New Roman" w:hAnsi="Times New Roman" w:cs="Times New Roman"/>
          <w:sz w:val="24"/>
          <w:szCs w:val="24"/>
        </w:rPr>
        <w:t xml:space="preserve"> can contribute to the needed integration across the energy, transport, industry and building sectors</w:t>
      </w:r>
      <w:r>
        <w:rPr>
          <w:rFonts w:ascii="Times New Roman" w:hAnsi="Times New Roman" w:cs="Times New Roman"/>
          <w:sz w:val="24"/>
          <w:szCs w:val="24"/>
        </w:rPr>
        <w:t>, in line with the emerging Smart Specialisation priority domains in the region.</w:t>
      </w:r>
    </w:p>
    <w:p w14:paraId="2FCF2CB3" w14:textId="5DA81880"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improvement of the </w:t>
      </w:r>
      <w:r w:rsidR="008E280D">
        <w:rPr>
          <w:rFonts w:ascii="Times New Roman" w:hAnsi="Times New Roman" w:cs="Times New Roman"/>
          <w:sz w:val="24"/>
          <w:szCs w:val="24"/>
        </w:rPr>
        <w:t xml:space="preserve">sustainable </w:t>
      </w:r>
      <w:r w:rsidRPr="36BE81E9">
        <w:rPr>
          <w:rFonts w:ascii="Times New Roman" w:hAnsi="Times New Roman" w:cs="Times New Roman"/>
          <w:sz w:val="24"/>
          <w:szCs w:val="24"/>
        </w:rPr>
        <w:t>connectivity within the IPA III beneficiaries, as well as between them and the European Union, is a key factor for growth and will bring clear benefits for the region’s economies and citizens. The transport sector has a strong potential to contribute to competitiveness and trade. Competitive</w:t>
      </w:r>
      <w:r w:rsidR="004B2EC0">
        <w:rPr>
          <w:rFonts w:ascii="Times New Roman" w:hAnsi="Times New Roman" w:cs="Times New Roman"/>
          <w:sz w:val="24"/>
          <w:szCs w:val="24"/>
        </w:rPr>
        <w:t>, sustainable</w:t>
      </w:r>
      <w:r w:rsidRPr="36BE81E9">
        <w:rPr>
          <w:rFonts w:ascii="Times New Roman" w:hAnsi="Times New Roman" w:cs="Times New Roman"/>
          <w:sz w:val="24"/>
          <w:szCs w:val="24"/>
        </w:rPr>
        <w:t xml:space="preserve"> and environmentally friendly transport solutions will require efficiently combining transport modes by road, rail</w:t>
      </w:r>
      <w:r w:rsidR="00C30AD7">
        <w:rPr>
          <w:rFonts w:ascii="Times New Roman" w:hAnsi="Times New Roman" w:cs="Times New Roman"/>
          <w:sz w:val="24"/>
          <w:szCs w:val="24"/>
        </w:rPr>
        <w:t xml:space="preserve">, maritime </w:t>
      </w:r>
      <w:r w:rsidRPr="36BE81E9">
        <w:rPr>
          <w:rFonts w:ascii="Times New Roman" w:hAnsi="Times New Roman" w:cs="Times New Roman"/>
          <w:sz w:val="24"/>
          <w:szCs w:val="24"/>
        </w:rPr>
        <w:t>and inland waterways. There is therefore a particular need for greater multi-modality</w:t>
      </w:r>
      <w:r w:rsidR="00C51A58">
        <w:rPr>
          <w:rFonts w:ascii="Times New Roman" w:hAnsi="Times New Roman" w:cs="Times New Roman"/>
          <w:sz w:val="24"/>
          <w:szCs w:val="24"/>
        </w:rPr>
        <w:t>, decarbonisation and elec</w:t>
      </w:r>
      <w:r w:rsidR="0013371A">
        <w:rPr>
          <w:rFonts w:ascii="Times New Roman" w:hAnsi="Times New Roman" w:cs="Times New Roman"/>
          <w:sz w:val="24"/>
          <w:szCs w:val="24"/>
        </w:rPr>
        <w:t>t</w:t>
      </w:r>
      <w:r w:rsidR="00C51A58">
        <w:rPr>
          <w:rFonts w:ascii="Times New Roman" w:hAnsi="Times New Roman" w:cs="Times New Roman"/>
          <w:sz w:val="24"/>
          <w:szCs w:val="24"/>
        </w:rPr>
        <w:t>rification</w:t>
      </w:r>
      <w:r w:rsidRPr="36BE81E9">
        <w:rPr>
          <w:rFonts w:ascii="Times New Roman" w:hAnsi="Times New Roman" w:cs="Times New Roman"/>
          <w:sz w:val="24"/>
          <w:szCs w:val="24"/>
        </w:rPr>
        <w:t>.</w:t>
      </w:r>
      <w:r>
        <w:rPr>
          <w:rFonts w:ascii="Times New Roman" w:hAnsi="Times New Roman" w:cs="Times New Roman"/>
          <w:sz w:val="24"/>
          <w:szCs w:val="24"/>
        </w:rPr>
        <w:t xml:space="preserve"> Transportation networks will have to be resilient to current and future disaster risks, particularly those aggravated by climate change.</w:t>
      </w:r>
    </w:p>
    <w:p w14:paraId="39F296CF" w14:textId="7C8CABB7" w:rsidR="005739B7" w:rsidRPr="005742F9" w:rsidRDefault="001469B0"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digital economy </w:t>
      </w:r>
      <w:r w:rsidR="004B2EC0">
        <w:rPr>
          <w:rFonts w:ascii="Times New Roman" w:hAnsi="Times New Roman" w:cs="Times New Roman"/>
          <w:sz w:val="24"/>
          <w:szCs w:val="24"/>
        </w:rPr>
        <w:t xml:space="preserve">is </w:t>
      </w:r>
      <w:r w:rsidR="0013371A">
        <w:rPr>
          <w:rFonts w:ascii="Times New Roman" w:hAnsi="Times New Roman" w:cs="Times New Roman"/>
          <w:sz w:val="24"/>
          <w:szCs w:val="24"/>
        </w:rPr>
        <w:t>a f</w:t>
      </w:r>
      <w:r>
        <w:rPr>
          <w:rFonts w:ascii="Times New Roman" w:hAnsi="Times New Roman" w:cs="Times New Roman"/>
          <w:sz w:val="24"/>
          <w:szCs w:val="24"/>
        </w:rPr>
        <w:t xml:space="preserve">ast growing sector. </w:t>
      </w:r>
      <w:r w:rsidR="005739B7" w:rsidRPr="36BE81E9">
        <w:rPr>
          <w:rFonts w:ascii="Times New Roman" w:hAnsi="Times New Roman" w:cs="Times New Roman"/>
          <w:sz w:val="24"/>
          <w:szCs w:val="24"/>
        </w:rPr>
        <w:t xml:space="preserve">Strengthening digital connectivity and the digital transformation of </w:t>
      </w:r>
      <w:r w:rsidR="00C1653F">
        <w:rPr>
          <w:rFonts w:ascii="Times New Roman" w:hAnsi="Times New Roman" w:cs="Times New Roman"/>
          <w:sz w:val="24"/>
          <w:szCs w:val="24"/>
        </w:rPr>
        <w:t xml:space="preserve">businesses and public services </w:t>
      </w:r>
      <w:r w:rsidR="005739B7" w:rsidRPr="36BE81E9">
        <w:rPr>
          <w:rFonts w:ascii="Times New Roman" w:hAnsi="Times New Roman" w:cs="Times New Roman"/>
          <w:sz w:val="24"/>
          <w:szCs w:val="24"/>
        </w:rPr>
        <w:t>can be used for inno</w:t>
      </w:r>
      <w:r w:rsidR="00C1653F">
        <w:rPr>
          <w:rFonts w:ascii="Times New Roman" w:hAnsi="Times New Roman" w:cs="Times New Roman"/>
          <w:sz w:val="24"/>
          <w:szCs w:val="24"/>
        </w:rPr>
        <w:t xml:space="preserve">vations that create wealth for </w:t>
      </w:r>
      <w:r w:rsidR="005739B7" w:rsidRPr="36BE81E9">
        <w:rPr>
          <w:rFonts w:ascii="Times New Roman" w:hAnsi="Times New Roman" w:cs="Times New Roman"/>
          <w:sz w:val="24"/>
          <w:szCs w:val="24"/>
        </w:rPr>
        <w:t>societies and  business</w:t>
      </w:r>
      <w:r w:rsidR="0013371A">
        <w:rPr>
          <w:rFonts w:ascii="Times New Roman" w:hAnsi="Times New Roman" w:cs="Times New Roman"/>
          <w:sz w:val="24"/>
          <w:szCs w:val="24"/>
        </w:rPr>
        <w:t>es</w:t>
      </w:r>
      <w:r w:rsidR="005739B7" w:rsidRPr="36BE81E9">
        <w:rPr>
          <w:rFonts w:ascii="Times New Roman" w:hAnsi="Times New Roman" w:cs="Times New Roman"/>
          <w:sz w:val="24"/>
          <w:szCs w:val="24"/>
        </w:rPr>
        <w:t xml:space="preserve">. </w:t>
      </w:r>
      <w:r w:rsidR="00C90BC9">
        <w:rPr>
          <w:rFonts w:ascii="Times New Roman" w:hAnsi="Times New Roman" w:cs="Times New Roman"/>
          <w:sz w:val="24"/>
          <w:szCs w:val="24"/>
        </w:rPr>
        <w:t xml:space="preserve">Supporting the digital transformation of the economies in </w:t>
      </w:r>
      <w:r w:rsidR="0013371A">
        <w:rPr>
          <w:rFonts w:ascii="Times New Roman" w:hAnsi="Times New Roman" w:cs="Times New Roman"/>
          <w:sz w:val="24"/>
          <w:szCs w:val="24"/>
        </w:rPr>
        <w:t xml:space="preserve">the </w:t>
      </w:r>
      <w:r w:rsidR="00C90BC9">
        <w:rPr>
          <w:rFonts w:ascii="Times New Roman" w:hAnsi="Times New Roman" w:cs="Times New Roman"/>
          <w:sz w:val="24"/>
          <w:szCs w:val="24"/>
        </w:rPr>
        <w:t>Western Ba</w:t>
      </w:r>
      <w:r w:rsidR="00C1653F">
        <w:rPr>
          <w:rFonts w:ascii="Times New Roman" w:hAnsi="Times New Roman" w:cs="Times New Roman"/>
          <w:sz w:val="24"/>
          <w:szCs w:val="24"/>
        </w:rPr>
        <w:t>lkans and Turkey is essential</w:t>
      </w:r>
      <w:r w:rsidR="00C90BC9">
        <w:rPr>
          <w:rFonts w:ascii="Times New Roman" w:hAnsi="Times New Roman" w:cs="Times New Roman"/>
          <w:sz w:val="24"/>
          <w:szCs w:val="24"/>
        </w:rPr>
        <w:t xml:space="preserve"> </w:t>
      </w:r>
      <w:r w:rsidR="004B2EC0">
        <w:rPr>
          <w:rFonts w:ascii="Times New Roman" w:hAnsi="Times New Roman" w:cs="Times New Roman"/>
          <w:sz w:val="24"/>
          <w:szCs w:val="24"/>
        </w:rPr>
        <w:t xml:space="preserve">not </w:t>
      </w:r>
      <w:r w:rsidR="00C1653F">
        <w:rPr>
          <w:rFonts w:ascii="Times New Roman" w:hAnsi="Times New Roman" w:cs="Times New Roman"/>
          <w:sz w:val="24"/>
          <w:szCs w:val="24"/>
        </w:rPr>
        <w:t xml:space="preserve">to </w:t>
      </w:r>
      <w:r w:rsidR="00C90BC9">
        <w:rPr>
          <w:rFonts w:ascii="Times New Roman" w:hAnsi="Times New Roman" w:cs="Times New Roman"/>
          <w:sz w:val="24"/>
          <w:szCs w:val="24"/>
        </w:rPr>
        <w:t>broaden the digital gap with the EU and is a prerequisite for the competitiveness of industry in the region</w:t>
      </w:r>
      <w:r w:rsidR="0013371A">
        <w:rPr>
          <w:rFonts w:ascii="Times New Roman" w:hAnsi="Times New Roman" w:cs="Times New Roman"/>
          <w:sz w:val="24"/>
          <w:szCs w:val="24"/>
        </w:rPr>
        <w:t>.</w:t>
      </w:r>
      <w:r w:rsidR="00C90BC9">
        <w:rPr>
          <w:rFonts w:ascii="Times New Roman" w:hAnsi="Times New Roman" w:cs="Times New Roman"/>
          <w:sz w:val="24"/>
          <w:szCs w:val="24"/>
        </w:rPr>
        <w:t xml:space="preserve"> Resilient and secure </w:t>
      </w:r>
      <w:r w:rsidR="0013371A">
        <w:rPr>
          <w:rFonts w:ascii="Times New Roman" w:hAnsi="Times New Roman" w:cs="Times New Roman"/>
          <w:sz w:val="24"/>
          <w:szCs w:val="24"/>
        </w:rPr>
        <w:t>d</w:t>
      </w:r>
      <w:r w:rsidR="00C90BC9">
        <w:rPr>
          <w:rFonts w:ascii="Times New Roman" w:hAnsi="Times New Roman" w:cs="Times New Roman"/>
          <w:sz w:val="24"/>
          <w:szCs w:val="24"/>
        </w:rPr>
        <w:t>igital connectivity</w:t>
      </w:r>
      <w:r w:rsidR="0013371A">
        <w:rPr>
          <w:rFonts w:ascii="Times New Roman" w:hAnsi="Times New Roman" w:cs="Times New Roman"/>
          <w:sz w:val="24"/>
          <w:szCs w:val="24"/>
        </w:rPr>
        <w:t>,</w:t>
      </w:r>
      <w:r w:rsidR="00C90BC9">
        <w:rPr>
          <w:rFonts w:ascii="Times New Roman" w:hAnsi="Times New Roman" w:cs="Times New Roman"/>
          <w:sz w:val="24"/>
          <w:szCs w:val="24"/>
        </w:rPr>
        <w:t xml:space="preserve"> which mitigate risks in networks and preserves citizens privacy and integrity</w:t>
      </w:r>
      <w:r w:rsidR="0013371A">
        <w:rPr>
          <w:rFonts w:ascii="Times New Roman" w:hAnsi="Times New Roman" w:cs="Times New Roman"/>
          <w:sz w:val="24"/>
          <w:szCs w:val="24"/>
        </w:rPr>
        <w:t>,</w:t>
      </w:r>
      <w:r w:rsidR="00C90BC9">
        <w:rPr>
          <w:rFonts w:ascii="Times New Roman" w:hAnsi="Times New Roman" w:cs="Times New Roman"/>
          <w:sz w:val="24"/>
          <w:szCs w:val="24"/>
        </w:rPr>
        <w:t xml:space="preserve"> is a prerequisite for a human centric digital economy and society.   </w:t>
      </w:r>
      <w:r w:rsidR="005739B7" w:rsidRPr="36BE81E9">
        <w:rPr>
          <w:rFonts w:ascii="Times New Roman" w:hAnsi="Times New Roman" w:cs="Times New Roman"/>
          <w:sz w:val="24"/>
          <w:szCs w:val="24"/>
        </w:rPr>
        <w:t xml:space="preserve">Data and artificial intelligence are the ingredients for innovation that  help  to find </w:t>
      </w:r>
      <w:r w:rsidR="00912627">
        <w:rPr>
          <w:rFonts w:ascii="Times New Roman" w:hAnsi="Times New Roman" w:cs="Times New Roman"/>
          <w:sz w:val="24"/>
          <w:szCs w:val="24"/>
        </w:rPr>
        <w:t xml:space="preserve">sustainable </w:t>
      </w:r>
      <w:r w:rsidR="005739B7" w:rsidRPr="36BE81E9">
        <w:rPr>
          <w:rFonts w:ascii="Times New Roman" w:hAnsi="Times New Roman" w:cs="Times New Roman"/>
          <w:sz w:val="24"/>
          <w:szCs w:val="24"/>
        </w:rPr>
        <w:t xml:space="preserve">solutions to societal challenges, from </w:t>
      </w:r>
      <w:r w:rsidR="000C4FCF">
        <w:rPr>
          <w:rFonts w:ascii="Times New Roman" w:hAnsi="Times New Roman" w:cs="Times New Roman"/>
          <w:sz w:val="24"/>
          <w:szCs w:val="24"/>
        </w:rPr>
        <w:t xml:space="preserve">climate change, </w:t>
      </w:r>
      <w:r w:rsidR="005739B7" w:rsidRPr="36BE81E9">
        <w:rPr>
          <w:rFonts w:ascii="Times New Roman" w:hAnsi="Times New Roman" w:cs="Times New Roman"/>
          <w:sz w:val="24"/>
          <w:szCs w:val="24"/>
        </w:rPr>
        <w:t>health to farming, from security to manufacturing.</w:t>
      </w:r>
      <w:r w:rsidR="005739B7">
        <w:rPr>
          <w:rFonts w:ascii="Times New Roman" w:hAnsi="Times New Roman" w:cs="Times New Roman"/>
          <w:sz w:val="24"/>
          <w:szCs w:val="24"/>
        </w:rPr>
        <w:t xml:space="preserve"> </w:t>
      </w:r>
    </w:p>
    <w:p w14:paraId="2A905D7D" w14:textId="77777777" w:rsidR="005739B7" w:rsidRPr="005742F9" w:rsidRDefault="005739B7" w:rsidP="005739B7">
      <w:pPr>
        <w:spacing w:after="120" w:line="240" w:lineRule="auto"/>
        <w:jc w:val="both"/>
        <w:rPr>
          <w:rFonts w:ascii="Times New Roman" w:hAnsi="Times New Roman" w:cs="Times New Roman"/>
          <w:sz w:val="24"/>
          <w:szCs w:val="24"/>
        </w:rPr>
      </w:pPr>
    </w:p>
    <w:p w14:paraId="7F5F5986" w14:textId="77777777" w:rsidR="005739B7" w:rsidRPr="005742F9" w:rsidRDefault="005739B7" w:rsidP="005739B7">
      <w:pPr>
        <w:numPr>
          <w:ilvl w:val="0"/>
          <w:numId w:val="11"/>
        </w:numPr>
        <w:spacing w:after="120" w:line="240" w:lineRule="auto"/>
        <w:ind w:left="426" w:hanging="426"/>
        <w:rPr>
          <w:rFonts w:ascii="Times New Roman" w:hAnsi="Times New Roman" w:cs="Times New Roman"/>
          <w:b/>
          <w:bCs/>
        </w:rPr>
      </w:pPr>
      <w:r w:rsidRPr="36BE81E9">
        <w:rPr>
          <w:rFonts w:ascii="Times New Roman" w:hAnsi="Times New Roman" w:cs="Times New Roman"/>
          <w:b/>
          <w:bCs/>
        </w:rPr>
        <w:t xml:space="preserve">Key priorities for IPA III support </w:t>
      </w:r>
    </w:p>
    <w:p w14:paraId="07FA7713"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overall objectives of the EU’s assistance under Window 3 are to promote the green agenda by reinforcing environmental protection, contributing to mitigation, increasing resilience to climate change, accelerating the shift towards a low-carbon </w:t>
      </w:r>
      <w:r>
        <w:rPr>
          <w:rFonts w:ascii="Times New Roman" w:hAnsi="Times New Roman" w:cs="Times New Roman"/>
          <w:sz w:val="24"/>
          <w:szCs w:val="24"/>
        </w:rPr>
        <w:t xml:space="preserve">and circular </w:t>
      </w:r>
      <w:r w:rsidRPr="36BE81E9">
        <w:rPr>
          <w:rFonts w:ascii="Times New Roman" w:hAnsi="Times New Roman" w:cs="Times New Roman"/>
          <w:sz w:val="24"/>
          <w:szCs w:val="24"/>
        </w:rPr>
        <w:t xml:space="preserve">economy and develop the digital economy and society. </w:t>
      </w:r>
      <w:r w:rsidRPr="00A84A79">
        <w:rPr>
          <w:rFonts w:ascii="Times New Roman" w:hAnsi="Times New Roman" w:cs="Times New Roman"/>
          <w:sz w:val="24"/>
          <w:szCs w:val="24"/>
        </w:rPr>
        <w:t>This approach shall apply on land but also at sea with a new approach for a sustainable blue economy. It</w:t>
      </w:r>
      <w:r w:rsidRPr="36BE81E9">
        <w:rPr>
          <w:rFonts w:ascii="Times New Roman" w:hAnsi="Times New Roman" w:cs="Times New Roman"/>
          <w:sz w:val="24"/>
          <w:szCs w:val="24"/>
        </w:rPr>
        <w:t>, will contribute to boosting resilience and preventing the emergence and spread of future health cris</w:t>
      </w:r>
      <w:r>
        <w:rPr>
          <w:rFonts w:ascii="Times New Roman" w:hAnsi="Times New Roman" w:cs="Times New Roman"/>
          <w:sz w:val="24"/>
          <w:szCs w:val="24"/>
        </w:rPr>
        <w:t>e</w:t>
      </w:r>
      <w:r w:rsidRPr="36BE81E9">
        <w:rPr>
          <w:rFonts w:ascii="Times New Roman" w:hAnsi="Times New Roman" w:cs="Times New Roman"/>
          <w:sz w:val="24"/>
          <w:szCs w:val="24"/>
        </w:rPr>
        <w:t xml:space="preserve">s. </w:t>
      </w:r>
    </w:p>
    <w:p w14:paraId="2EB6BE17"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Window 3 will also to contribute to increased connectivity of the IPA III beneficiaries to the EU and to the wider global market as well as among themselves and with the citizens of the EU.</w:t>
      </w:r>
    </w:p>
    <w:p w14:paraId="33A735F3" w14:textId="2949DB2D"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hAnsi="Times New Roman" w:cs="Times New Roman"/>
          <w:sz w:val="24"/>
          <w:szCs w:val="24"/>
        </w:rPr>
        <w:t>Under Window 3, IPA III will gradually integrate the new policy dimensions of the EU structural and cohesion policy in the enlargement region with the objective to better support the beneficiaries' understanding of the structural EU policies, support the transfer of best practices from the EU structural instruments to the enlargement area and prepare the beneficiaries for accession. Window 3 thematic priorities already reflect the objectives of the new cohesion policy (a smarter, greener and more connected Europe)</w:t>
      </w:r>
      <w:r>
        <w:rPr>
          <w:rFonts w:ascii="Times New Roman" w:hAnsi="Times New Roman" w:cs="Times New Roman"/>
          <w:sz w:val="24"/>
          <w:szCs w:val="24"/>
        </w:rPr>
        <w:t xml:space="preserve"> and </w:t>
      </w:r>
      <w:r w:rsidRPr="00BF1545">
        <w:rPr>
          <w:rFonts w:ascii="Times New Roman" w:hAnsi="Times New Roman" w:cs="Times New Roman"/>
          <w:sz w:val="24"/>
          <w:szCs w:val="24"/>
        </w:rPr>
        <w:t>strong</w:t>
      </w:r>
      <w:r>
        <w:rPr>
          <w:rFonts w:ascii="Times New Roman" w:hAnsi="Times New Roman" w:cs="Times New Roman"/>
          <w:sz w:val="24"/>
          <w:szCs w:val="24"/>
        </w:rPr>
        <w:t>ly</w:t>
      </w:r>
      <w:r w:rsidRPr="00BF1545">
        <w:rPr>
          <w:rFonts w:ascii="Times New Roman" w:hAnsi="Times New Roman" w:cs="Times New Roman"/>
          <w:sz w:val="24"/>
          <w:szCs w:val="24"/>
        </w:rPr>
        <w:t xml:space="preserve"> refer to the </w:t>
      </w:r>
      <w:r w:rsidRPr="005804C3">
        <w:rPr>
          <w:rFonts w:ascii="Times New Roman" w:hAnsi="Times New Roman" w:cs="Times New Roman"/>
          <w:sz w:val="24"/>
          <w:szCs w:val="24"/>
        </w:rPr>
        <w:t>EU Strategy for the Adriatic-Ionian Region (EUSAIR) and the EU Strategy for the Danube Region (EUSDR)</w:t>
      </w:r>
      <w:r>
        <w:rPr>
          <w:rFonts w:ascii="Times New Roman" w:hAnsi="Times New Roman" w:cs="Times New Roman"/>
          <w:sz w:val="24"/>
          <w:szCs w:val="24"/>
        </w:rPr>
        <w:t xml:space="preserve"> embedding process</w:t>
      </w:r>
      <w:r w:rsidRPr="005804C3">
        <w:rPr>
          <w:rFonts w:ascii="Times New Roman" w:hAnsi="Times New Roman" w:cs="Times New Roman"/>
          <w:sz w:val="24"/>
          <w:szCs w:val="24"/>
        </w:rPr>
        <w:t xml:space="preserve"> and their flagship projects</w:t>
      </w:r>
      <w:r w:rsidRPr="36BE81E9">
        <w:rPr>
          <w:rFonts w:ascii="Times New Roman" w:hAnsi="Times New Roman" w:cs="Times New Roman"/>
          <w:sz w:val="24"/>
          <w:szCs w:val="24"/>
        </w:rPr>
        <w:t xml:space="preserve">. </w:t>
      </w:r>
      <w:r w:rsidRPr="36BE81E9">
        <w:rPr>
          <w:rFonts w:ascii="Times New Roman" w:eastAsia="Calibri" w:hAnsi="Times New Roman" w:cs="Times New Roman"/>
          <w:sz w:val="24"/>
          <w:szCs w:val="24"/>
        </w:rPr>
        <w:t xml:space="preserve">The proposed actions will also be designed in a way to assess, address and mainstream gender </w:t>
      </w:r>
      <w:r w:rsidR="00A45742">
        <w:rPr>
          <w:rFonts w:ascii="Times New Roman" w:eastAsia="Calibri" w:hAnsi="Times New Roman" w:cs="Times New Roman"/>
          <w:sz w:val="24"/>
          <w:szCs w:val="24"/>
        </w:rPr>
        <w:t xml:space="preserve">equality </w:t>
      </w:r>
      <w:r w:rsidRPr="36BE81E9">
        <w:rPr>
          <w:rFonts w:ascii="Times New Roman" w:eastAsia="Calibri" w:hAnsi="Times New Roman" w:cs="Times New Roman"/>
          <w:sz w:val="24"/>
          <w:szCs w:val="24"/>
        </w:rPr>
        <w:t>and promote gender equality</w:t>
      </w:r>
      <w:r>
        <w:rPr>
          <w:rFonts w:ascii="Times New Roman" w:eastAsia="Calibri" w:hAnsi="Times New Roman" w:cs="Times New Roman"/>
          <w:sz w:val="24"/>
          <w:szCs w:val="24"/>
        </w:rPr>
        <w:t>, reduce inequalities and enable better delivery of services to the vulnerable populations</w:t>
      </w:r>
      <w:r w:rsidRPr="36BE81E9">
        <w:rPr>
          <w:rFonts w:ascii="Times New Roman" w:eastAsia="Calibri" w:hAnsi="Times New Roman" w:cs="Times New Roman"/>
          <w:sz w:val="24"/>
          <w:szCs w:val="24"/>
        </w:rPr>
        <w:t xml:space="preserve">. Window 3 will be complementary to Window 4, which will more directly support the core actions of the EU structural and cohesion policies (private sector development, trade, research and innovation, agriculture, rural development and fisheries) in the IPA III beneficiaries. </w:t>
      </w:r>
    </w:p>
    <w:p w14:paraId="30CD6A98" w14:textId="3D85775C"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assessment and support of the structures, processes and procedures set up in the IPA III beneficiaries to select, prepare and implement infrastructure investments including with possible private engagement through public-private partnerships, will be of particular importance for the achievements of the strategic objectives of this Window. In addition, such investments should always be associated with those institutional and regulatory reforms undertaken in the context of the alignment with 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and standards, and likely to ensure long-lasting and sustainable social and economic returns. </w:t>
      </w:r>
    </w:p>
    <w:p w14:paraId="537F0F5A" w14:textId="64942E96"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III-supported investments should be in line with </w:t>
      </w:r>
      <w:r>
        <w:rPr>
          <w:rFonts w:ascii="Times New Roman" w:hAnsi="Times New Roman" w:cs="Times New Roman"/>
          <w:sz w:val="24"/>
          <w:szCs w:val="24"/>
        </w:rPr>
        <w:t>the Economic and Investmen</w:t>
      </w:r>
      <w:r w:rsidR="00A45742">
        <w:rPr>
          <w:rFonts w:ascii="Times New Roman" w:hAnsi="Times New Roman" w:cs="Times New Roman"/>
          <w:sz w:val="24"/>
          <w:szCs w:val="24"/>
        </w:rPr>
        <w:t xml:space="preserve">t Plan for the Western Balkans </w:t>
      </w:r>
      <w:r w:rsidR="0013371A">
        <w:rPr>
          <w:rFonts w:ascii="Times New Roman" w:hAnsi="Times New Roman" w:cs="Times New Roman"/>
          <w:sz w:val="24"/>
          <w:szCs w:val="24"/>
        </w:rPr>
        <w:t xml:space="preserve">and other </w:t>
      </w:r>
      <w:r w:rsidRPr="36BE81E9">
        <w:rPr>
          <w:rFonts w:ascii="Times New Roman" w:hAnsi="Times New Roman" w:cs="Times New Roman"/>
          <w:sz w:val="24"/>
          <w:szCs w:val="24"/>
        </w:rPr>
        <w:t>relevant EU policies, including the Green Agenda</w:t>
      </w:r>
      <w:r>
        <w:rPr>
          <w:rFonts w:ascii="Times New Roman" w:hAnsi="Times New Roman" w:cs="Times New Roman"/>
          <w:sz w:val="24"/>
          <w:szCs w:val="24"/>
        </w:rPr>
        <w:t xml:space="preserve"> for the Western Balkans</w:t>
      </w:r>
      <w:r w:rsidRPr="00A84A79">
        <w:rPr>
          <w:rFonts w:ascii="Times New Roman" w:hAnsi="Times New Roman" w:cs="Times New Roman"/>
          <w:sz w:val="24"/>
          <w:szCs w:val="24"/>
        </w:rPr>
        <w:t xml:space="preserve"> and relevant </w:t>
      </w:r>
      <w:r w:rsidR="006129CC">
        <w:rPr>
          <w:rFonts w:ascii="Times New Roman" w:hAnsi="Times New Roman" w:cs="Times New Roman"/>
          <w:sz w:val="24"/>
          <w:szCs w:val="24"/>
        </w:rPr>
        <w:t>m</w:t>
      </w:r>
      <w:r>
        <w:rPr>
          <w:rFonts w:ascii="Times New Roman" w:hAnsi="Times New Roman" w:cs="Times New Roman"/>
          <w:sz w:val="24"/>
          <w:szCs w:val="24"/>
        </w:rPr>
        <w:t>acro-</w:t>
      </w:r>
      <w:r w:rsidR="006129CC">
        <w:rPr>
          <w:rFonts w:ascii="Times New Roman" w:hAnsi="Times New Roman" w:cs="Times New Roman"/>
          <w:sz w:val="24"/>
          <w:szCs w:val="24"/>
        </w:rPr>
        <w:t>r</w:t>
      </w:r>
      <w:r>
        <w:rPr>
          <w:rFonts w:ascii="Times New Roman" w:hAnsi="Times New Roman" w:cs="Times New Roman"/>
          <w:sz w:val="24"/>
          <w:szCs w:val="24"/>
        </w:rPr>
        <w:t xml:space="preserve">egional </w:t>
      </w:r>
      <w:r w:rsidR="006129CC">
        <w:rPr>
          <w:rFonts w:ascii="Times New Roman" w:hAnsi="Times New Roman" w:cs="Times New Roman"/>
          <w:sz w:val="24"/>
          <w:szCs w:val="24"/>
        </w:rPr>
        <w:t>s</w:t>
      </w:r>
      <w:r w:rsidRPr="00A84A79">
        <w:rPr>
          <w:rFonts w:ascii="Times New Roman" w:hAnsi="Times New Roman" w:cs="Times New Roman"/>
          <w:sz w:val="24"/>
          <w:szCs w:val="24"/>
        </w:rPr>
        <w:t>trategies</w:t>
      </w:r>
      <w:r w:rsidRPr="36BE81E9">
        <w:rPr>
          <w:rFonts w:ascii="Times New Roman" w:hAnsi="Times New Roman" w:cs="Times New Roman"/>
          <w:sz w:val="24"/>
          <w:szCs w:val="24"/>
        </w:rPr>
        <w:t>. These investments should also follow the national development objectives, be compliant with sectoral strategic documents, and address a significant socio-economic need with major impact. To be eligible for IPA III support, large infrastructure projects should feature in the National Single Project Pipeline of the beneficiaries</w:t>
      </w:r>
      <w:r w:rsidR="00C51A58">
        <w:rPr>
          <w:rFonts w:ascii="Times New Roman" w:hAnsi="Times New Roman" w:cs="Times New Roman"/>
          <w:sz w:val="24"/>
          <w:szCs w:val="24"/>
        </w:rPr>
        <w:t xml:space="preserve"> and produce no significant harm to climate and environment</w:t>
      </w:r>
      <w:r w:rsidRPr="36BE81E9">
        <w:rPr>
          <w:rFonts w:ascii="Times New Roman" w:hAnsi="Times New Roman" w:cs="Times New Roman"/>
          <w:sz w:val="24"/>
          <w:szCs w:val="24"/>
        </w:rPr>
        <w:t xml:space="preserve">. They should also be in line with the medium term budget plans. The investment plans should systematically provide information on the planning process and the allocation of resources against the government policy priorities and foresee the implementation of projects on time and on budget in the short, medium and long-term perspective. Such investment plans should also include possible financing sources from the budget, borrowing plans, donor contributions, private sector participations and financial constraints. </w:t>
      </w:r>
    </w:p>
    <w:p w14:paraId="4C7CCA22" w14:textId="77777777" w:rsidR="005739B7" w:rsidRPr="005742F9" w:rsidRDefault="005739B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IPA III assistance provided under this window will be in line with the five pillars identified in the </w:t>
      </w:r>
      <w:r w:rsidRPr="00B20EB8">
        <w:rPr>
          <w:rFonts w:ascii="Times New Roman" w:hAnsi="Times New Roman" w:cs="Times New Roman"/>
          <w:sz w:val="24"/>
          <w:szCs w:val="24"/>
        </w:rPr>
        <w:t>Guidelines for the Implementation of the Green Agenda for the Western Balkans</w:t>
      </w:r>
      <w:r>
        <w:rPr>
          <w:rFonts w:ascii="Times New Roman" w:hAnsi="Times New Roman" w:cs="Times New Roman"/>
          <w:sz w:val="24"/>
          <w:szCs w:val="24"/>
        </w:rPr>
        <w:t xml:space="preserve">. </w:t>
      </w:r>
    </w:p>
    <w:p w14:paraId="52A67CAA" w14:textId="77777777" w:rsidR="00FE1162" w:rsidRDefault="00FE1162" w:rsidP="005739B7">
      <w:pPr>
        <w:spacing w:after="120" w:line="240" w:lineRule="auto"/>
        <w:jc w:val="both"/>
        <w:rPr>
          <w:rFonts w:ascii="Times New Roman" w:hAnsi="Times New Roman" w:cs="Times New Roman"/>
          <w:i/>
          <w:iCs/>
          <w:sz w:val="24"/>
          <w:szCs w:val="24"/>
        </w:rPr>
      </w:pPr>
    </w:p>
    <w:p w14:paraId="6A635D68" w14:textId="6B3B07C8"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1: Environment and climate change</w:t>
      </w:r>
    </w:p>
    <w:p w14:paraId="01033D9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 of IPA III in this area is to support the protection of the environment, improve its quality and contribute to actions and policies against climate change</w:t>
      </w:r>
      <w:r>
        <w:t xml:space="preserve"> </w:t>
      </w:r>
      <w:r w:rsidRPr="36BE81E9">
        <w:rPr>
          <w:rFonts w:ascii="Times New Roman" w:hAnsi="Times New Roman" w:cs="Times New Roman"/>
          <w:sz w:val="24"/>
          <w:szCs w:val="24"/>
        </w:rPr>
        <w:t>to accelerate the shift towards a low-carbon economy.</w:t>
      </w:r>
    </w:p>
    <w:p w14:paraId="745DB4E5"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More concretely, through this Window IPA III will support the beneficiaries to bring their </w:t>
      </w:r>
      <w:r w:rsidRPr="36BE81E9">
        <w:rPr>
          <w:rFonts w:ascii="Times New Roman" w:hAnsi="Times New Roman" w:cs="Times New Roman"/>
          <w:b/>
          <w:bCs/>
          <w:sz w:val="24"/>
          <w:szCs w:val="24"/>
        </w:rPr>
        <w:t>environment</w:t>
      </w:r>
      <w:r>
        <w:rPr>
          <w:rFonts w:ascii="Times New Roman" w:hAnsi="Times New Roman" w:cs="Times New Roman"/>
          <w:b/>
          <w:bCs/>
          <w:sz w:val="24"/>
          <w:szCs w:val="24"/>
        </w:rPr>
        <w:t>al</w:t>
      </w:r>
      <w:r w:rsidRPr="36BE81E9">
        <w:rPr>
          <w:rFonts w:ascii="Times New Roman" w:hAnsi="Times New Roman" w:cs="Times New Roman"/>
          <w:b/>
          <w:bCs/>
          <w:sz w:val="24"/>
          <w:szCs w:val="24"/>
        </w:rPr>
        <w:t xml:space="preserve"> protection</w:t>
      </w:r>
      <w:r w:rsidRPr="36BE81E9">
        <w:rPr>
          <w:rFonts w:ascii="Times New Roman" w:hAnsi="Times New Roman" w:cs="Times New Roman"/>
          <w:sz w:val="24"/>
          <w:szCs w:val="24"/>
        </w:rPr>
        <w:t xml:space="preserve"> standards and </w:t>
      </w:r>
      <w:r w:rsidRPr="36BE81E9">
        <w:rPr>
          <w:rFonts w:ascii="Times New Roman" w:hAnsi="Times New Roman" w:cs="Times New Roman"/>
          <w:b/>
          <w:bCs/>
          <w:sz w:val="24"/>
          <w:szCs w:val="24"/>
        </w:rPr>
        <w:t>climate change policies</w:t>
      </w:r>
      <w:r w:rsidRPr="36BE81E9">
        <w:rPr>
          <w:rFonts w:ascii="Times New Roman" w:hAnsi="Times New Roman" w:cs="Times New Roman"/>
          <w:sz w:val="24"/>
          <w:szCs w:val="24"/>
        </w:rPr>
        <w:t xml:space="preserve"> in line with EU requirements and policy priorities</w:t>
      </w:r>
      <w:r>
        <w:rPr>
          <w:rFonts w:ascii="Times New Roman" w:hAnsi="Times New Roman" w:cs="Times New Roman"/>
          <w:sz w:val="24"/>
          <w:szCs w:val="24"/>
        </w:rPr>
        <w:t xml:space="preserve">, including the Economic and Investment Plan for the Western Balkans </w:t>
      </w:r>
      <w:r w:rsidRPr="00A84A79">
        <w:rPr>
          <w:rFonts w:ascii="Times New Roman" w:hAnsi="Times New Roman" w:cs="Times New Roman"/>
          <w:sz w:val="24"/>
          <w:szCs w:val="24"/>
        </w:rPr>
        <w:t xml:space="preserve">and relevant </w:t>
      </w:r>
      <w:r>
        <w:rPr>
          <w:rFonts w:ascii="Times New Roman" w:hAnsi="Times New Roman" w:cs="Times New Roman"/>
          <w:sz w:val="24"/>
          <w:szCs w:val="24"/>
        </w:rPr>
        <w:t>Macro-Regional S</w:t>
      </w:r>
      <w:r w:rsidRPr="00A84A79">
        <w:rPr>
          <w:rFonts w:ascii="Times New Roman" w:hAnsi="Times New Roman" w:cs="Times New Roman"/>
          <w:sz w:val="24"/>
          <w:szCs w:val="24"/>
        </w:rPr>
        <w:t>trategies</w:t>
      </w:r>
      <w:r w:rsidRPr="36BE81E9">
        <w:rPr>
          <w:rFonts w:ascii="Times New Roman" w:hAnsi="Times New Roman" w:cs="Times New Roman"/>
          <w:sz w:val="24"/>
          <w:szCs w:val="24"/>
        </w:rPr>
        <w:t>. Institutions should be strengthened at all levels of the public administration, with the objective to create enough institutional and financial capacities to deliver, implement, enforce and monitor effective environmental and climate change policies and legislation.</w:t>
      </w:r>
    </w:p>
    <w:p w14:paraId="49F1B180" w14:textId="52B581FE"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macroeconomic relevance of the </w:t>
      </w:r>
      <w:r w:rsidRPr="36BE81E9">
        <w:rPr>
          <w:rFonts w:ascii="Times New Roman" w:hAnsi="Times New Roman" w:cs="Times New Roman"/>
          <w:b/>
          <w:bCs/>
          <w:sz w:val="24"/>
          <w:szCs w:val="24"/>
        </w:rPr>
        <w:t>circular economy</w:t>
      </w:r>
      <w:r w:rsidRPr="36BE81E9">
        <w:rPr>
          <w:rFonts w:ascii="Times New Roman" w:hAnsi="Times New Roman" w:cs="Times New Roman"/>
          <w:sz w:val="24"/>
          <w:szCs w:val="24"/>
        </w:rPr>
        <w:t xml:space="preserve"> and its benefits for economic growth, job creation and citizens’ health should inform strategic programming choices. This will require additional efforts for long-term strategic planning and inter-ministerial coordination, as well as cooperation with all relevant stakeholders, including</w:t>
      </w:r>
      <w:r>
        <w:rPr>
          <w:rFonts w:ascii="Times New Roman" w:hAnsi="Times New Roman" w:cs="Times New Roman"/>
          <w:sz w:val="24"/>
          <w:szCs w:val="24"/>
        </w:rPr>
        <w:t xml:space="preserve"> local authorities,</w:t>
      </w:r>
      <w:r w:rsidRPr="36BE81E9">
        <w:rPr>
          <w:rFonts w:ascii="Times New Roman" w:hAnsi="Times New Roman" w:cs="Times New Roman"/>
          <w:sz w:val="24"/>
          <w:szCs w:val="24"/>
        </w:rPr>
        <w:t xml:space="preserve"> the business community and civil society. Achieving climate neutrality will transform economies profoundly. </w:t>
      </w:r>
      <w:r w:rsidR="000505C6">
        <w:rPr>
          <w:rFonts w:ascii="Times New Roman" w:hAnsi="Times New Roman" w:cs="Times New Roman"/>
          <w:sz w:val="24"/>
          <w:szCs w:val="24"/>
        </w:rPr>
        <w:t>T</w:t>
      </w:r>
      <w:r w:rsidRPr="36BE81E9">
        <w:rPr>
          <w:rFonts w:ascii="Times New Roman" w:hAnsi="Times New Roman" w:cs="Times New Roman"/>
          <w:sz w:val="24"/>
          <w:szCs w:val="24"/>
        </w:rPr>
        <w:t xml:space="preserve">he European Green Deal </w:t>
      </w:r>
      <w:r w:rsidR="000505C6">
        <w:rPr>
          <w:rFonts w:ascii="Times New Roman" w:hAnsi="Times New Roman" w:cs="Times New Roman"/>
          <w:sz w:val="24"/>
          <w:szCs w:val="24"/>
        </w:rPr>
        <w:t xml:space="preserve">should </w:t>
      </w:r>
      <w:r w:rsidRPr="36BE81E9">
        <w:rPr>
          <w:rFonts w:ascii="Times New Roman" w:hAnsi="Times New Roman" w:cs="Times New Roman"/>
          <w:sz w:val="24"/>
          <w:szCs w:val="24"/>
        </w:rPr>
        <w:t>become</w:t>
      </w:r>
      <w:r w:rsidR="000505C6">
        <w:rPr>
          <w:rFonts w:ascii="Times New Roman" w:hAnsi="Times New Roman" w:cs="Times New Roman"/>
          <w:sz w:val="24"/>
          <w:szCs w:val="24"/>
        </w:rPr>
        <w:t xml:space="preserve"> a </w:t>
      </w:r>
      <w:r w:rsidRPr="36BE81E9">
        <w:rPr>
          <w:rFonts w:ascii="Times New Roman" w:hAnsi="Times New Roman" w:cs="Times New Roman"/>
          <w:sz w:val="24"/>
          <w:szCs w:val="24"/>
        </w:rPr>
        <w:t>job-creating engine</w:t>
      </w:r>
      <w:r w:rsidR="000505C6">
        <w:rPr>
          <w:rFonts w:ascii="Times New Roman" w:hAnsi="Times New Roman" w:cs="Times New Roman"/>
          <w:sz w:val="24"/>
          <w:szCs w:val="24"/>
        </w:rPr>
        <w:t xml:space="preserve"> and the incentive to ach</w:t>
      </w:r>
      <w:r w:rsidR="00F212AB">
        <w:rPr>
          <w:rFonts w:ascii="Times New Roman" w:hAnsi="Times New Roman" w:cs="Times New Roman"/>
          <w:sz w:val="24"/>
          <w:szCs w:val="24"/>
        </w:rPr>
        <w:t>ieve decent working conditions.</w:t>
      </w:r>
    </w:p>
    <w:p w14:paraId="583347B3" w14:textId="40E51F8C"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Infrastructure and public investments in the environmental sector serve a twofold economic and social development purpose and support for their planning, design, construction and sustainable management is required, in terms of both capital investments and technical assistance. The challenging financial effort to bring water, wastewater and solid waste management infrastructure in line with EU standards requires innovative financing mechanisms and the application of cost-recovery and polluter-pays principles. Investments should also contribute to mitigate and adapt to climate change in order to shift to a low-carbon and climate resilient development path. </w:t>
      </w:r>
    </w:p>
    <w:p w14:paraId="30F823FD" w14:textId="77777777" w:rsidR="00A45742" w:rsidRPr="005742F9" w:rsidRDefault="00A45742" w:rsidP="005739B7">
      <w:pPr>
        <w:spacing w:after="120" w:line="240" w:lineRule="auto"/>
        <w:jc w:val="both"/>
        <w:rPr>
          <w:rFonts w:ascii="Times New Roman" w:hAnsi="Times New Roman" w:cs="Times New Roman"/>
          <w:sz w:val="24"/>
          <w:szCs w:val="24"/>
        </w:rPr>
      </w:pPr>
    </w:p>
    <w:p w14:paraId="425293D1" w14:textId="5AC48CBB"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will also support actions to help addressing the global challenge of improving the environment and ensuring its preservation for future generations. It will focus on reversing environmental degradation, promoting conservation of terrestrial and marine ecosystems, monitoring and ultimately improving the quality of air, soil</w:t>
      </w:r>
      <w:r w:rsidR="00C30AD7">
        <w:rPr>
          <w:rFonts w:ascii="Times New Roman" w:hAnsi="Times New Roman" w:cs="Times New Roman"/>
          <w:sz w:val="24"/>
          <w:szCs w:val="24"/>
        </w:rPr>
        <w:t>, sea</w:t>
      </w:r>
      <w:r w:rsidRPr="36BE81E9">
        <w:rPr>
          <w:rFonts w:ascii="Times New Roman" w:hAnsi="Times New Roman" w:cs="Times New Roman"/>
          <w:sz w:val="24"/>
          <w:szCs w:val="24"/>
        </w:rPr>
        <w:t xml:space="preserve"> and water, abating levels of industrial and chemical pollution, as well as properly disposing of waste, including hazardous </w:t>
      </w:r>
      <w:r>
        <w:rPr>
          <w:rFonts w:ascii="Times New Roman" w:hAnsi="Times New Roman" w:cs="Times New Roman"/>
          <w:sz w:val="24"/>
          <w:szCs w:val="24"/>
        </w:rPr>
        <w:t xml:space="preserve">and extractive </w:t>
      </w:r>
      <w:r w:rsidRPr="36BE81E9">
        <w:rPr>
          <w:rFonts w:ascii="Times New Roman" w:hAnsi="Times New Roman" w:cs="Times New Roman"/>
          <w:sz w:val="24"/>
          <w:szCs w:val="24"/>
        </w:rPr>
        <w:t>waste.</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Particular emphasis will be placed on transboundary issues and on the sustainable </w:t>
      </w:r>
      <w:r w:rsidRPr="00FA05B6">
        <w:rPr>
          <w:rFonts w:ascii="Times New Roman" w:hAnsi="Times New Roman" w:cs="Times New Roman"/>
          <w:sz w:val="24"/>
          <w:szCs w:val="24"/>
        </w:rPr>
        <w:t>production and utilisation of natural resources, including the critical raw materials needed for the green and climate-neutral economy</w:t>
      </w:r>
      <w:r>
        <w:rPr>
          <w:rFonts w:ascii="Times New Roman" w:hAnsi="Times New Roman" w:cs="Times New Roman"/>
          <w:sz w:val="24"/>
          <w:szCs w:val="24"/>
        </w:rPr>
        <w:t xml:space="preserve"> </w:t>
      </w:r>
      <w:r w:rsidRPr="36BE81E9">
        <w:rPr>
          <w:rFonts w:ascii="Times New Roman" w:hAnsi="Times New Roman" w:cs="Times New Roman"/>
          <w:sz w:val="24"/>
          <w:szCs w:val="24"/>
        </w:rPr>
        <w:t>in line with green and circular economy principles; energy efficiency</w:t>
      </w:r>
      <w:r w:rsidR="00912627">
        <w:rPr>
          <w:rFonts w:ascii="Times New Roman" w:hAnsi="Times New Roman" w:cs="Times New Roman"/>
          <w:sz w:val="24"/>
          <w:szCs w:val="24"/>
        </w:rPr>
        <w:t xml:space="preserve">, </w:t>
      </w:r>
      <w:r w:rsidRPr="36BE81E9">
        <w:rPr>
          <w:rFonts w:ascii="Times New Roman" w:hAnsi="Times New Roman" w:cs="Times New Roman"/>
          <w:sz w:val="24"/>
          <w:szCs w:val="24"/>
        </w:rPr>
        <w:t>renewable</w:t>
      </w:r>
      <w:r w:rsidR="00912627">
        <w:rPr>
          <w:rFonts w:ascii="Times New Roman" w:hAnsi="Times New Roman" w:cs="Times New Roman"/>
          <w:sz w:val="24"/>
          <w:szCs w:val="24"/>
        </w:rPr>
        <w:t xml:space="preserve"> and clean</w:t>
      </w:r>
      <w:r w:rsidRPr="36BE81E9">
        <w:rPr>
          <w:rFonts w:ascii="Times New Roman" w:hAnsi="Times New Roman" w:cs="Times New Roman"/>
          <w:sz w:val="24"/>
          <w:szCs w:val="24"/>
        </w:rPr>
        <w:t xml:space="preserve"> energy projects will be promoted in line with EU targets and policies. </w:t>
      </w:r>
    </w:p>
    <w:p w14:paraId="74FD8114" w14:textId="21CBEF1E"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Administrative capacity should be improved for </w:t>
      </w:r>
      <w:r w:rsidRPr="36BE81E9">
        <w:rPr>
          <w:rFonts w:ascii="Times New Roman" w:hAnsi="Times New Roman" w:cs="Times New Roman"/>
          <w:b/>
          <w:bCs/>
          <w:sz w:val="24"/>
          <w:szCs w:val="24"/>
        </w:rPr>
        <w:t>climate change action</w:t>
      </w:r>
      <w:r w:rsidRPr="36BE81E9">
        <w:rPr>
          <w:rFonts w:ascii="Times New Roman" w:hAnsi="Times New Roman" w:cs="Times New Roman"/>
          <w:sz w:val="24"/>
          <w:szCs w:val="24"/>
        </w:rPr>
        <w:t xml:space="preserve">. Activities aiming at mitigating effects, monitoring and </w:t>
      </w:r>
      <w:r w:rsidR="00C51A58">
        <w:rPr>
          <w:rFonts w:ascii="Times New Roman" w:hAnsi="Times New Roman" w:cs="Times New Roman"/>
          <w:sz w:val="24"/>
          <w:szCs w:val="24"/>
        </w:rPr>
        <w:t xml:space="preserve">actively pursuing policies </w:t>
      </w:r>
      <w:r w:rsidRPr="36BE81E9">
        <w:rPr>
          <w:rFonts w:ascii="Times New Roman" w:hAnsi="Times New Roman" w:cs="Times New Roman"/>
          <w:sz w:val="24"/>
          <w:szCs w:val="24"/>
        </w:rPr>
        <w:t xml:space="preserve">reducing greenhouse gas emission should be promoted and financially supported. Capacity for disaster risk management should be improved also with enhanced participation in the Union </w:t>
      </w:r>
      <w:r>
        <w:rPr>
          <w:rFonts w:ascii="Times New Roman" w:hAnsi="Times New Roman" w:cs="Times New Roman"/>
          <w:sz w:val="24"/>
          <w:szCs w:val="24"/>
        </w:rPr>
        <w:t>C</w:t>
      </w:r>
      <w:r w:rsidRPr="36BE81E9">
        <w:rPr>
          <w:rFonts w:ascii="Times New Roman" w:hAnsi="Times New Roman" w:cs="Times New Roman"/>
          <w:sz w:val="24"/>
          <w:szCs w:val="24"/>
        </w:rPr>
        <w:t xml:space="preserve">ivil </w:t>
      </w:r>
      <w:r>
        <w:rPr>
          <w:rFonts w:ascii="Times New Roman" w:hAnsi="Times New Roman" w:cs="Times New Roman"/>
          <w:sz w:val="24"/>
          <w:szCs w:val="24"/>
        </w:rPr>
        <w:t>P</w:t>
      </w:r>
      <w:r w:rsidRPr="36BE81E9">
        <w:rPr>
          <w:rFonts w:ascii="Times New Roman" w:hAnsi="Times New Roman" w:cs="Times New Roman"/>
          <w:sz w:val="24"/>
          <w:szCs w:val="24"/>
        </w:rPr>
        <w:t xml:space="preserve">rotection </w:t>
      </w:r>
      <w:r>
        <w:rPr>
          <w:rFonts w:ascii="Times New Roman" w:hAnsi="Times New Roman" w:cs="Times New Roman"/>
          <w:sz w:val="24"/>
          <w:szCs w:val="24"/>
        </w:rPr>
        <w:t>M</w:t>
      </w:r>
      <w:r w:rsidRPr="36BE81E9">
        <w:rPr>
          <w:rFonts w:ascii="Times New Roman" w:hAnsi="Times New Roman" w:cs="Times New Roman"/>
          <w:sz w:val="24"/>
          <w:szCs w:val="24"/>
        </w:rPr>
        <w:t>echanism.</w:t>
      </w:r>
    </w:p>
    <w:p w14:paraId="3C4DD965" w14:textId="1DEF25A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Initiatives for raising awareness towards environment degradation </w:t>
      </w:r>
      <w:r w:rsidRPr="36BE81E9">
        <w:rPr>
          <w:rFonts w:ascii="Times New Roman" w:hAnsi="Times New Roman"/>
          <w:sz w:val="24"/>
          <w:szCs w:val="24"/>
        </w:rPr>
        <w:t xml:space="preserve">including the issue of air </w:t>
      </w:r>
      <w:r w:rsidR="00C30AD7">
        <w:rPr>
          <w:rFonts w:ascii="Times New Roman" w:hAnsi="Times New Roman"/>
          <w:sz w:val="24"/>
          <w:szCs w:val="24"/>
        </w:rPr>
        <w:t xml:space="preserve">and marine </w:t>
      </w:r>
      <w:r w:rsidRPr="36BE81E9">
        <w:rPr>
          <w:rFonts w:ascii="Times New Roman" w:hAnsi="Times New Roman"/>
          <w:sz w:val="24"/>
          <w:szCs w:val="24"/>
        </w:rPr>
        <w:t>pollution and plastic pollution and</w:t>
      </w:r>
      <w:r w:rsidRPr="36BE81E9">
        <w:rPr>
          <w:rFonts w:ascii="Times New Roman" w:hAnsi="Times New Roman" w:cs="Times New Roman"/>
          <w:sz w:val="24"/>
          <w:szCs w:val="24"/>
        </w:rPr>
        <w:t xml:space="preserve"> climate change will be supported. The mainstreaming of climate and environment related actions within the priorities highlighted for IPA III assistance shall be enhanced in order to contribute to the Union’s efforts on climate with [1</w:t>
      </w:r>
      <w:r>
        <w:rPr>
          <w:rFonts w:ascii="Times New Roman" w:hAnsi="Times New Roman" w:cs="Times New Roman"/>
          <w:sz w:val="24"/>
          <w:szCs w:val="24"/>
        </w:rPr>
        <w:t>8</w:t>
      </w:r>
      <w:r w:rsidRPr="36BE81E9">
        <w:rPr>
          <w:rFonts w:ascii="Times New Roman" w:hAnsi="Times New Roman" w:cs="Times New Roman"/>
          <w:sz w:val="24"/>
          <w:szCs w:val="24"/>
        </w:rPr>
        <w:t>%</w:t>
      </w:r>
      <w:r>
        <w:rPr>
          <w:rFonts w:ascii="Times New Roman" w:hAnsi="Times New Roman" w:cs="Times New Roman"/>
          <w:sz w:val="24"/>
          <w:szCs w:val="24"/>
        </w:rPr>
        <w:t xml:space="preserve">, </w:t>
      </w:r>
      <w:r w:rsidRPr="00CB06D2">
        <w:rPr>
          <w:rFonts w:ascii="Times New Roman" w:hAnsi="Times New Roman" w:cs="Times New Roman"/>
          <w:sz w:val="24"/>
          <w:szCs w:val="24"/>
        </w:rPr>
        <w:t>with the objective of reaching 20% by 2027</w:t>
      </w:r>
      <w:r w:rsidRPr="36BE81E9">
        <w:rPr>
          <w:rFonts w:ascii="Times New Roman" w:hAnsi="Times New Roman" w:cs="Times New Roman"/>
          <w:sz w:val="24"/>
          <w:szCs w:val="24"/>
        </w:rPr>
        <w:t>] of its overall financial envelope. Finally, the mainstreaming of environment and climate action in other infrastructure projects and reforms should be strengthened in order to ensure their sustainability.</w:t>
      </w:r>
    </w:p>
    <w:p w14:paraId="1199DEB9" w14:textId="757DD371" w:rsidR="005739B7"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main concerned chapter of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 xml:space="preserve">acquis </w:t>
      </w:r>
      <w:r w:rsidRPr="36BE81E9">
        <w:rPr>
          <w:rFonts w:ascii="Times New Roman" w:eastAsia="Calibri" w:hAnsi="Times New Roman" w:cs="Times New Roman"/>
          <w:sz w:val="24"/>
          <w:szCs w:val="24"/>
        </w:rPr>
        <w:t>under this section is chapter 27 (Environment and climate change)</w:t>
      </w:r>
      <w:r w:rsidR="00942107">
        <w:rPr>
          <w:rFonts w:ascii="Times New Roman" w:eastAsia="Calibri" w:hAnsi="Times New Roman" w:cs="Times New Roman"/>
          <w:sz w:val="24"/>
          <w:szCs w:val="24"/>
        </w:rPr>
        <w:t>, included in c</w:t>
      </w:r>
      <w:r w:rsidR="00672CD3">
        <w:rPr>
          <w:rFonts w:ascii="Times New Roman" w:eastAsia="Calibri" w:hAnsi="Times New Roman" w:cs="Times New Roman"/>
          <w:sz w:val="24"/>
          <w:szCs w:val="24"/>
        </w:rPr>
        <w:t>luster 4 (</w:t>
      </w:r>
      <w:r w:rsidR="00672CD3" w:rsidRPr="00123C42">
        <w:rPr>
          <w:rFonts w:ascii="Times New Roman" w:eastAsia="Calibri" w:hAnsi="Times New Roman" w:cs="Times New Roman"/>
          <w:sz w:val="24"/>
          <w:szCs w:val="24"/>
        </w:rPr>
        <w:t>Green agenda and sustainable connectivity</w:t>
      </w:r>
      <w:r w:rsidR="00672CD3">
        <w:rPr>
          <w:rFonts w:ascii="Times New Roman" w:eastAsia="Calibri" w:hAnsi="Times New Roman" w:cs="Times New Roman"/>
          <w:sz w:val="24"/>
          <w:szCs w:val="24"/>
        </w:rPr>
        <w:t>)</w:t>
      </w:r>
      <w:r w:rsidRPr="36BE81E9">
        <w:rPr>
          <w:rFonts w:ascii="Times New Roman" w:eastAsia="Calibri" w:hAnsi="Times New Roman" w:cs="Times New Roman"/>
          <w:sz w:val="24"/>
          <w:szCs w:val="24"/>
        </w:rPr>
        <w:t>.</w:t>
      </w:r>
    </w:p>
    <w:p w14:paraId="042C456A" w14:textId="77777777" w:rsidR="005739B7" w:rsidRDefault="005739B7" w:rsidP="005739B7">
      <w:pPr>
        <w:spacing w:after="120" w:line="240" w:lineRule="auto"/>
        <w:jc w:val="both"/>
        <w:rPr>
          <w:rFonts w:ascii="Times New Roman" w:eastAsia="Calibri" w:hAnsi="Times New Roman" w:cs="Times New Roman"/>
          <w:sz w:val="24"/>
          <w:szCs w:val="24"/>
        </w:rPr>
      </w:pPr>
    </w:p>
    <w:p w14:paraId="316FB6F2" w14:textId="77777777" w:rsidR="005739B7" w:rsidRPr="00C03C2F"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2: Transport, digital economy and society, and energy</w:t>
      </w:r>
    </w:p>
    <w:p w14:paraId="25CA27AD" w14:textId="7402BB66"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 of IPA III in this area is to promote</w:t>
      </w:r>
      <w:r w:rsidR="00CD1206">
        <w:rPr>
          <w:rFonts w:ascii="Times New Roman" w:hAnsi="Times New Roman" w:cs="Times New Roman"/>
          <w:sz w:val="24"/>
          <w:szCs w:val="24"/>
        </w:rPr>
        <w:t xml:space="preserve">: </w:t>
      </w:r>
      <w:r w:rsidRPr="36BE81E9">
        <w:rPr>
          <w:rFonts w:ascii="Times New Roman" w:hAnsi="Times New Roman" w:cs="Times New Roman"/>
          <w:sz w:val="24"/>
          <w:szCs w:val="24"/>
        </w:rPr>
        <w:t xml:space="preserve">smart, sustainable, inclusive, safe </w:t>
      </w:r>
      <w:r w:rsidR="00390763">
        <w:rPr>
          <w:rFonts w:ascii="Times New Roman" w:hAnsi="Times New Roman" w:cs="Times New Roman"/>
          <w:sz w:val="24"/>
          <w:szCs w:val="24"/>
        </w:rPr>
        <w:t xml:space="preserve">and resilient </w:t>
      </w:r>
      <w:r w:rsidRPr="36BE81E9">
        <w:rPr>
          <w:rFonts w:ascii="Times New Roman" w:hAnsi="Times New Roman" w:cs="Times New Roman"/>
          <w:sz w:val="24"/>
          <w:szCs w:val="24"/>
        </w:rPr>
        <w:t>transport and to remove bottlenecks in key network infrastructures, to improve access to digital technologies and services, to accelerate the shift towards a low-carbon</w:t>
      </w:r>
      <w:r>
        <w:rPr>
          <w:rFonts w:ascii="Times New Roman" w:hAnsi="Times New Roman" w:cs="Times New Roman"/>
          <w:sz w:val="24"/>
          <w:szCs w:val="24"/>
        </w:rPr>
        <w:t>, climate resilient</w:t>
      </w:r>
      <w:r w:rsidRPr="36BE81E9">
        <w:rPr>
          <w:rFonts w:ascii="Times New Roman" w:hAnsi="Times New Roman" w:cs="Times New Roman"/>
          <w:sz w:val="24"/>
          <w:szCs w:val="24"/>
        </w:rPr>
        <w:t xml:space="preserve"> economy</w:t>
      </w:r>
      <w:r>
        <w:rPr>
          <w:rFonts w:ascii="Times New Roman" w:hAnsi="Times New Roman" w:cs="Times New Roman"/>
          <w:sz w:val="24"/>
          <w:szCs w:val="24"/>
        </w:rPr>
        <w:t>,</w:t>
      </w:r>
      <w:r w:rsidRPr="36BE81E9">
        <w:rPr>
          <w:rFonts w:ascii="Times New Roman" w:hAnsi="Times New Roman" w:cs="Times New Roman"/>
          <w:sz w:val="24"/>
          <w:szCs w:val="24"/>
        </w:rPr>
        <w:t xml:space="preserve"> promote clean energy transition and a European integrated energy market.</w:t>
      </w:r>
    </w:p>
    <w:p w14:paraId="5760CF71" w14:textId="27DC21C8" w:rsidR="005739B7" w:rsidRPr="005742F9" w:rsidRDefault="005739B7" w:rsidP="005739B7">
      <w:pPr>
        <w:spacing w:after="120" w:line="240" w:lineRule="auto"/>
        <w:jc w:val="both"/>
        <w:rPr>
          <w:rFonts w:ascii="Times New Roman" w:hAnsi="Times New Roman" w:cs="Times New Roman"/>
          <w:sz w:val="24"/>
          <w:szCs w:val="24"/>
        </w:rPr>
      </w:pPr>
      <w:r w:rsidRPr="00CF51B4">
        <w:rPr>
          <w:rFonts w:ascii="Times New Roman" w:hAnsi="Times New Roman"/>
          <w:sz w:val="24"/>
          <w:szCs w:val="24"/>
        </w:rPr>
        <w:t xml:space="preserve">In line with the Economic and Investment Plan for the Western Balkans, </w:t>
      </w:r>
      <w:r w:rsidR="00CD1206">
        <w:rPr>
          <w:rFonts w:ascii="Times New Roman" w:hAnsi="Times New Roman"/>
          <w:sz w:val="24"/>
          <w:szCs w:val="24"/>
        </w:rPr>
        <w:t xml:space="preserve">and </w:t>
      </w:r>
      <w:r w:rsidR="00A34EAF">
        <w:rPr>
          <w:rFonts w:ascii="Times New Roman" w:hAnsi="Times New Roman"/>
          <w:sz w:val="24"/>
          <w:szCs w:val="24"/>
        </w:rPr>
        <w:t xml:space="preserve">communications related to global and sustainable connectivity (such as </w:t>
      </w:r>
      <w:r w:rsidR="00CD1206" w:rsidRPr="002330C7">
        <w:rPr>
          <w:rFonts w:ascii="Times New Roman" w:hAnsi="Times New Roman"/>
          <w:sz w:val="24"/>
          <w:szCs w:val="24"/>
        </w:rPr>
        <w:t xml:space="preserve">the Joint Communication “Connecting Europe and Asia”, </w:t>
      </w:r>
      <w:r w:rsidRPr="00CF51B4">
        <w:rPr>
          <w:rFonts w:ascii="Times New Roman" w:hAnsi="Times New Roman"/>
          <w:sz w:val="24"/>
          <w:szCs w:val="24"/>
        </w:rPr>
        <w:t>the EU will</w:t>
      </w:r>
      <w:r>
        <w:rPr>
          <w:rFonts w:ascii="Times New Roman" w:hAnsi="Times New Roman"/>
          <w:sz w:val="24"/>
          <w:szCs w:val="24"/>
        </w:rPr>
        <w:t xml:space="preserve"> support sustainable connectivity and the twin green and digital transition, and it will</w:t>
      </w:r>
      <w:r w:rsidRPr="00CF51B4">
        <w:rPr>
          <w:rFonts w:ascii="Times New Roman" w:hAnsi="Times New Roman"/>
          <w:sz w:val="24"/>
          <w:szCs w:val="24"/>
        </w:rPr>
        <w:t xml:space="preserve"> prioritise core transport </w:t>
      </w:r>
      <w:r>
        <w:rPr>
          <w:rFonts w:ascii="Times New Roman" w:hAnsi="Times New Roman"/>
          <w:sz w:val="24"/>
          <w:szCs w:val="24"/>
        </w:rPr>
        <w:t xml:space="preserve">and energy connections </w:t>
      </w:r>
      <w:r w:rsidRPr="00CF51B4">
        <w:rPr>
          <w:rFonts w:ascii="Times New Roman" w:hAnsi="Times New Roman"/>
          <w:sz w:val="24"/>
          <w:szCs w:val="24"/>
        </w:rPr>
        <w:t>of interest to the region and to the EU.</w:t>
      </w:r>
      <w:r w:rsidRPr="00265A7B">
        <w:rPr>
          <w:rFonts w:ascii="Times New Roman" w:hAnsi="Times New Roman"/>
          <w:sz w:val="24"/>
          <w:szCs w:val="24"/>
        </w:rPr>
        <w:t xml:space="preserve"> </w:t>
      </w:r>
    </w:p>
    <w:p w14:paraId="380319B6" w14:textId="7149E37A"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Successful economic integration with the EU will only be possible with enhanced </w:t>
      </w:r>
      <w:r w:rsidRPr="36BE81E9">
        <w:rPr>
          <w:rFonts w:ascii="Times New Roman" w:hAnsi="Times New Roman" w:cs="Times New Roman"/>
          <w:b/>
          <w:bCs/>
          <w:sz w:val="24"/>
          <w:szCs w:val="24"/>
        </w:rPr>
        <w:t xml:space="preserve">connectivity </w:t>
      </w:r>
      <w:r w:rsidRPr="36BE81E9">
        <w:rPr>
          <w:rFonts w:ascii="Times New Roman" w:hAnsi="Times New Roman" w:cs="Times New Roman"/>
          <w:sz w:val="24"/>
          <w:szCs w:val="24"/>
        </w:rPr>
        <w:t>and therefore improving transport, energy and high speed</w:t>
      </w:r>
      <w:r w:rsidR="00A45742">
        <w:rPr>
          <w:rFonts w:ascii="Times New Roman" w:hAnsi="Times New Roman" w:cs="Times New Roman"/>
          <w:sz w:val="24"/>
          <w:szCs w:val="24"/>
        </w:rPr>
        <w:t xml:space="preserve">, secure </w:t>
      </w:r>
      <w:r w:rsidR="00E46120">
        <w:rPr>
          <w:rFonts w:ascii="Times New Roman" w:hAnsi="Times New Roman" w:cs="Times New Roman"/>
          <w:sz w:val="24"/>
          <w:szCs w:val="24"/>
        </w:rPr>
        <w:t xml:space="preserve">digital </w:t>
      </w:r>
      <w:r w:rsidRPr="36BE81E9">
        <w:rPr>
          <w:rFonts w:ascii="Times New Roman" w:hAnsi="Times New Roman" w:cs="Times New Roman"/>
          <w:sz w:val="24"/>
          <w:szCs w:val="24"/>
        </w:rPr>
        <w:t>networks, focussing on the extension of the Trans-European Networks to the beneficiaries</w:t>
      </w:r>
      <w:r w:rsidR="00E46120">
        <w:rPr>
          <w:rFonts w:ascii="Times New Roman" w:hAnsi="Times New Roman" w:cs="Times New Roman"/>
          <w:sz w:val="24"/>
          <w:szCs w:val="24"/>
        </w:rPr>
        <w:t xml:space="preserve"> and on the rollout of next-generation broadband networks, in line with the evolving EU approach to secure network connectivity</w:t>
      </w:r>
      <w:r w:rsidRPr="36BE81E9">
        <w:rPr>
          <w:rFonts w:ascii="Times New Roman" w:hAnsi="Times New Roman" w:cs="Times New Roman"/>
          <w:sz w:val="24"/>
          <w:szCs w:val="24"/>
        </w:rPr>
        <w:t xml:space="preserve">. This will increase competitiveness, </w:t>
      </w:r>
      <w:r>
        <w:rPr>
          <w:rFonts w:ascii="Times New Roman" w:hAnsi="Times New Roman" w:cs="Times New Roman"/>
          <w:sz w:val="24"/>
          <w:szCs w:val="24"/>
        </w:rPr>
        <w:t xml:space="preserve">improve access to services, </w:t>
      </w:r>
      <w:r w:rsidRPr="36BE81E9">
        <w:rPr>
          <w:rFonts w:ascii="Times New Roman" w:hAnsi="Times New Roman" w:cs="Times New Roman"/>
          <w:sz w:val="24"/>
          <w:szCs w:val="24"/>
        </w:rPr>
        <w:t>boost economic growth and achieve regional integration.</w:t>
      </w:r>
    </w:p>
    <w:p w14:paraId="69FE3807" w14:textId="206ACF6E"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However, a modern network of infrastructure will serve little purpose if the institutional and regulatory frameworks are not strengthened and aligned with EU requirements. In the </w:t>
      </w:r>
      <w:r w:rsidRPr="36BE81E9">
        <w:rPr>
          <w:rFonts w:ascii="Times New Roman" w:hAnsi="Times New Roman" w:cs="Times New Roman"/>
          <w:b/>
          <w:bCs/>
          <w:sz w:val="24"/>
          <w:szCs w:val="24"/>
        </w:rPr>
        <w:t>transport</w:t>
      </w:r>
      <w:r w:rsidRPr="36BE81E9">
        <w:rPr>
          <w:rFonts w:ascii="Times New Roman" w:hAnsi="Times New Roman" w:cs="Times New Roman"/>
          <w:sz w:val="24"/>
          <w:szCs w:val="24"/>
        </w:rPr>
        <w:t xml:space="preserve"> sector this means providing support to promote efficient and sustainable management of the physical assets, introducing EU-compliant technical standards, simplifying border crossing procedures</w:t>
      </w:r>
      <w:r w:rsidR="00EF55E2">
        <w:rPr>
          <w:rFonts w:ascii="Times New Roman" w:hAnsi="Times New Roman" w:cs="Times New Roman"/>
          <w:sz w:val="24"/>
          <w:szCs w:val="24"/>
        </w:rPr>
        <w:t xml:space="preserve"> and enhancing the capacity of border crossing points. It also means</w:t>
      </w:r>
      <w:r w:rsidRPr="36BE81E9">
        <w:rPr>
          <w:rFonts w:ascii="Times New Roman" w:hAnsi="Times New Roman" w:cs="Times New Roman"/>
          <w:sz w:val="24"/>
          <w:szCs w:val="24"/>
        </w:rPr>
        <w:t xml:space="preserve"> road completion, maritime, railway and air market reforms. IPA III will also devote attention to transport safety</w:t>
      </w:r>
      <w:r w:rsidR="00390763">
        <w:rPr>
          <w:rFonts w:ascii="Times New Roman" w:hAnsi="Times New Roman" w:cs="Times New Roman"/>
          <w:sz w:val="24"/>
          <w:szCs w:val="24"/>
        </w:rPr>
        <w:t xml:space="preserve"> and security</w:t>
      </w:r>
      <w:r w:rsidRPr="36BE81E9">
        <w:rPr>
          <w:rFonts w:ascii="Times New Roman" w:hAnsi="Times New Roman" w:cs="Times New Roman"/>
          <w:sz w:val="24"/>
          <w:szCs w:val="24"/>
        </w:rPr>
        <w:t>, especially in road transport, and passengers’ rights in accordance with the EU requirements and targets to reduce road fatalities and serious injuries.</w:t>
      </w:r>
      <w:r>
        <w:rPr>
          <w:rFonts w:ascii="Times New Roman" w:hAnsi="Times New Roman" w:cs="Times New Roman"/>
          <w:sz w:val="24"/>
          <w:szCs w:val="24"/>
        </w:rPr>
        <w:t xml:space="preserve"> </w:t>
      </w:r>
    </w:p>
    <w:p w14:paraId="58B8475F" w14:textId="2B32F18B" w:rsidR="005739B7"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 xml:space="preserve">Growing volumes of freight and passenger transport could exacerbate pollution and congestion levels. IPA III will accordingly support forms of mobility that are sustainable, energy-efficient and respectful of the environment. This means promoting </w:t>
      </w:r>
      <w:r w:rsidR="00390763">
        <w:rPr>
          <w:rFonts w:ascii="Times New Roman" w:hAnsi="Times New Roman" w:cs="Times New Roman"/>
          <w:sz w:val="24"/>
          <w:szCs w:val="24"/>
        </w:rPr>
        <w:t>multimodality</w:t>
      </w:r>
      <w:r w:rsidR="00390763" w:rsidRPr="592E4EBE">
        <w:rPr>
          <w:rFonts w:ascii="Times New Roman" w:hAnsi="Times New Roman" w:cs="Times New Roman"/>
          <w:sz w:val="24"/>
          <w:szCs w:val="24"/>
        </w:rPr>
        <w:t xml:space="preserve"> </w:t>
      </w:r>
      <w:r w:rsidRPr="592E4EBE">
        <w:rPr>
          <w:rFonts w:ascii="Times New Roman" w:hAnsi="Times New Roman" w:cs="Times New Roman"/>
          <w:sz w:val="24"/>
          <w:szCs w:val="24"/>
        </w:rPr>
        <w:t>for long haul freight transport and green transport solutions, especially in urban mobility contexts.</w:t>
      </w:r>
    </w:p>
    <w:p w14:paraId="3096F7C1" w14:textId="77777777" w:rsidR="005739B7" w:rsidRPr="00265A7B" w:rsidRDefault="005739B7" w:rsidP="00463B74">
      <w:pPr>
        <w:pStyle w:val="ListeParagraf"/>
        <w:spacing w:after="120" w:line="240" w:lineRule="auto"/>
        <w:ind w:left="0"/>
        <w:jc w:val="both"/>
        <w:rPr>
          <w:rFonts w:ascii="Times New Roman" w:hAnsi="Times New Roman"/>
          <w:sz w:val="24"/>
          <w:szCs w:val="24"/>
        </w:rPr>
      </w:pPr>
      <w:r w:rsidRPr="00265A7B">
        <w:rPr>
          <w:rFonts w:ascii="Times New Roman" w:hAnsi="Times New Roman"/>
          <w:sz w:val="24"/>
          <w:szCs w:val="24"/>
        </w:rPr>
        <w:t>IPA III will support the construction of new transport infrastructure and the upgrading of existing infrastructure, with the objective of bringing the core transport network up to EU standards.</w:t>
      </w:r>
      <w:r>
        <w:rPr>
          <w:rFonts w:ascii="Times New Roman" w:hAnsi="Times New Roman"/>
          <w:sz w:val="24"/>
          <w:szCs w:val="24"/>
        </w:rPr>
        <w:t xml:space="preserve"> It will also support </w:t>
      </w:r>
      <w:r w:rsidRPr="00BD6861">
        <w:rPr>
          <w:rFonts w:ascii="Times New Roman" w:eastAsia="Times New Roman" w:hAnsi="Times New Roman"/>
          <w:sz w:val="24"/>
          <w:szCs w:val="24"/>
        </w:rPr>
        <w:t xml:space="preserve">intermodal connections and the gradual </w:t>
      </w:r>
      <w:r w:rsidRPr="006C2BA4">
        <w:rPr>
          <w:rFonts w:ascii="Times New Roman" w:eastAsia="Times New Roman" w:hAnsi="Times New Roman"/>
          <w:sz w:val="24"/>
          <w:szCs w:val="24"/>
        </w:rPr>
        <w:t>shift from individual road transport to public or shared mobility</w:t>
      </w:r>
      <w:r>
        <w:rPr>
          <w:rFonts w:ascii="Times New Roman" w:eastAsia="Times New Roman" w:hAnsi="Times New Roman"/>
          <w:sz w:val="24"/>
          <w:szCs w:val="24"/>
        </w:rPr>
        <w:t>.</w:t>
      </w:r>
      <w:r>
        <w:rPr>
          <w:rFonts w:ascii="Times New Roman" w:hAnsi="Times New Roman"/>
          <w:sz w:val="24"/>
          <w:szCs w:val="24"/>
        </w:rPr>
        <w:t xml:space="preserve"> This will be done in a way that ensures their resilience to current and future disaster risks</w:t>
      </w:r>
      <w:r w:rsidRPr="00A1737C">
        <w:rPr>
          <w:rFonts w:ascii="Times New Roman" w:hAnsi="Times New Roman"/>
          <w:sz w:val="24"/>
          <w:szCs w:val="24"/>
        </w:rPr>
        <w:t>, particularly those aggravated by climate change.</w:t>
      </w:r>
      <w:r>
        <w:rPr>
          <w:rFonts w:ascii="Times New Roman" w:hAnsi="Times New Roman"/>
          <w:sz w:val="24"/>
          <w:szCs w:val="24"/>
        </w:rPr>
        <w:t xml:space="preserve"> </w:t>
      </w:r>
    </w:p>
    <w:p w14:paraId="2AAB84B3" w14:textId="77777777" w:rsidR="005739B7" w:rsidRPr="00265A7B" w:rsidRDefault="005739B7" w:rsidP="005333A5">
      <w:pPr>
        <w:spacing w:after="120" w:line="240" w:lineRule="auto"/>
        <w:jc w:val="both"/>
        <w:rPr>
          <w:rFonts w:ascii="Times New Roman" w:eastAsia="Times New Roman" w:hAnsi="Times New Roman" w:cs="Times New Roman"/>
          <w:sz w:val="24"/>
          <w:szCs w:val="24"/>
        </w:rPr>
      </w:pPr>
      <w:r w:rsidRPr="00265A7B">
        <w:rPr>
          <w:rFonts w:ascii="Times New Roman" w:eastAsia="Times New Roman" w:hAnsi="Times New Roman" w:cs="Times New Roman"/>
          <w:sz w:val="24"/>
          <w:szCs w:val="24"/>
        </w:rPr>
        <w:t xml:space="preserve">Fast and efficient transport links, both within the region and with the neighbouring EU Member States, and greening transport with further investment in rail and waterways are crucial. In this context, to further spur regional cooperation and integration, connecting capitals in the region and with the EU will be an important priority. </w:t>
      </w:r>
    </w:p>
    <w:p w14:paraId="110E9BD9" w14:textId="77777777" w:rsidR="005739B7" w:rsidRDefault="005739B7" w:rsidP="00F30CB2">
      <w:pPr>
        <w:spacing w:after="120" w:line="240" w:lineRule="auto"/>
        <w:jc w:val="both"/>
        <w:rPr>
          <w:rFonts w:ascii="Times New Roman" w:eastAsia="Times New Roman" w:hAnsi="Times New Roman" w:cs="Times New Roman"/>
          <w:sz w:val="24"/>
          <w:szCs w:val="24"/>
        </w:rPr>
      </w:pPr>
      <w:r w:rsidRPr="00265A7B">
        <w:rPr>
          <w:rFonts w:ascii="Times New Roman" w:eastAsia="Times New Roman" w:hAnsi="Times New Roman" w:cs="Times New Roman"/>
          <w:sz w:val="24"/>
          <w:szCs w:val="24"/>
        </w:rPr>
        <w:t>The creation of these links will drive investment, facilitate regional trade and deliver sustainable economic growth, improving the daily lives of people in the region.</w:t>
      </w:r>
    </w:p>
    <w:p w14:paraId="787D9EFB" w14:textId="77777777" w:rsidR="005739B7" w:rsidRPr="00265A7B" w:rsidRDefault="005739B7" w:rsidP="005739B7">
      <w:pPr>
        <w:spacing w:after="120" w:line="240" w:lineRule="auto"/>
        <w:jc w:val="both"/>
        <w:rPr>
          <w:rFonts w:ascii="Times New Roman" w:hAnsi="Times New Roman" w:cs="Times New Roman"/>
          <w:sz w:val="24"/>
          <w:szCs w:val="24"/>
        </w:rPr>
      </w:pPr>
      <w:r w:rsidRPr="004D5373">
        <w:rPr>
          <w:rFonts w:ascii="Times New Roman" w:hAnsi="Times New Roman" w:cs="Times New Roman"/>
          <w:sz w:val="24"/>
          <w:szCs w:val="24"/>
        </w:rPr>
        <w:t xml:space="preserve">Satellite-based positioning and timing services are essential in efficient transport and logistics, in time synchronisation of electricity networks, in infrastructure construction, mapping and surveying. EGNOS, </w:t>
      </w:r>
      <w:r>
        <w:rPr>
          <w:rFonts w:ascii="Times New Roman" w:hAnsi="Times New Roman" w:cs="Times New Roman"/>
          <w:sz w:val="24"/>
          <w:szCs w:val="24"/>
        </w:rPr>
        <w:t>the EU’s</w:t>
      </w:r>
      <w:r w:rsidRPr="004D5373">
        <w:rPr>
          <w:rFonts w:ascii="Times New Roman" w:hAnsi="Times New Roman" w:cs="Times New Roman"/>
          <w:sz w:val="24"/>
          <w:szCs w:val="24"/>
        </w:rPr>
        <w:t xml:space="preserve"> regional satellite-based augmentation system, helps build a single, safer and more sustainable transport area with </w:t>
      </w:r>
      <w:r>
        <w:rPr>
          <w:rFonts w:ascii="Times New Roman" w:hAnsi="Times New Roman" w:cs="Times New Roman"/>
          <w:sz w:val="24"/>
          <w:szCs w:val="24"/>
        </w:rPr>
        <w:t xml:space="preserve">the </w:t>
      </w:r>
      <w:r w:rsidRPr="004D5373">
        <w:rPr>
          <w:rFonts w:ascii="Times New Roman" w:hAnsi="Times New Roman" w:cs="Times New Roman"/>
          <w:sz w:val="24"/>
          <w:szCs w:val="24"/>
        </w:rPr>
        <w:t>Western Balkans.</w:t>
      </w:r>
    </w:p>
    <w:p w14:paraId="06490A82" w14:textId="083C828B" w:rsidR="005739B7" w:rsidRPr="005742F9" w:rsidRDefault="005739B7" w:rsidP="005739B7">
      <w:pPr>
        <w:spacing w:after="120" w:line="240" w:lineRule="auto"/>
        <w:jc w:val="both"/>
        <w:rPr>
          <w:rFonts w:ascii="Times New Roman" w:hAnsi="Times New Roman" w:cs="Times New Roman"/>
          <w:sz w:val="24"/>
          <w:szCs w:val="24"/>
        </w:rPr>
      </w:pPr>
      <w:r w:rsidRPr="004010FB">
        <w:rPr>
          <w:rFonts w:ascii="Times New Roman" w:hAnsi="Times New Roman" w:cs="Times New Roman"/>
          <w:sz w:val="24"/>
          <w:szCs w:val="24"/>
        </w:rPr>
        <w:t xml:space="preserve">The recent COVID-19 pandemic has proven the need for fast and ubiquitous connectivity across the EU to give all Europeans access to digital technology. </w:t>
      </w:r>
      <w:r w:rsidRPr="36BE81E9">
        <w:rPr>
          <w:rFonts w:ascii="Times New Roman" w:hAnsi="Times New Roman" w:cs="Times New Roman"/>
          <w:sz w:val="24"/>
          <w:szCs w:val="24"/>
        </w:rPr>
        <w:t xml:space="preserve">Strengthening </w:t>
      </w:r>
      <w:r w:rsidRPr="36BE81E9">
        <w:rPr>
          <w:rFonts w:ascii="Times New Roman" w:hAnsi="Times New Roman" w:cs="Times New Roman"/>
          <w:b/>
          <w:bCs/>
          <w:sz w:val="24"/>
          <w:szCs w:val="24"/>
        </w:rPr>
        <w:t>digital</w:t>
      </w:r>
      <w:r w:rsidRPr="36BE81E9">
        <w:rPr>
          <w:rFonts w:ascii="Times New Roman" w:hAnsi="Times New Roman" w:cs="Times New Roman"/>
          <w:sz w:val="24"/>
          <w:szCs w:val="24"/>
        </w:rPr>
        <w:t xml:space="preserve"> connectivity and the digital transformation of businesses and public services (with a special focus on e-Government, e-Procurement and e-Health in coordination with the other windows) has a great impact on growth, productivity, innovation</w:t>
      </w:r>
      <w:r>
        <w:rPr>
          <w:rFonts w:ascii="Times New Roman" w:hAnsi="Times New Roman" w:cs="Times New Roman"/>
          <w:sz w:val="24"/>
          <w:szCs w:val="24"/>
        </w:rPr>
        <w:t xml:space="preserve">, services, fight against </w:t>
      </w:r>
      <w:r w:rsidR="00FF6E99">
        <w:rPr>
          <w:rFonts w:ascii="Times New Roman" w:hAnsi="Times New Roman" w:cs="Times New Roman"/>
          <w:sz w:val="24"/>
          <w:szCs w:val="24"/>
        </w:rPr>
        <w:t xml:space="preserve">fraud and </w:t>
      </w:r>
      <w:r>
        <w:rPr>
          <w:rFonts w:ascii="Times New Roman" w:hAnsi="Times New Roman" w:cs="Times New Roman"/>
          <w:sz w:val="24"/>
          <w:szCs w:val="24"/>
        </w:rPr>
        <w:t>corruption</w:t>
      </w:r>
      <w:r w:rsidRPr="36BE81E9">
        <w:rPr>
          <w:rFonts w:ascii="Times New Roman" w:hAnsi="Times New Roman" w:cs="Times New Roman"/>
          <w:sz w:val="24"/>
          <w:szCs w:val="24"/>
        </w:rPr>
        <w:t xml:space="preserve"> and ultimately on people lives.</w:t>
      </w:r>
      <w:r>
        <w:rPr>
          <w:rFonts w:ascii="Times New Roman" w:hAnsi="Times New Roman" w:cs="Times New Roman"/>
          <w:sz w:val="24"/>
          <w:szCs w:val="24"/>
        </w:rPr>
        <w:t xml:space="preserve"> </w:t>
      </w:r>
      <w:r w:rsidR="00D424E5">
        <w:rPr>
          <w:rFonts w:ascii="Times New Roman" w:hAnsi="Times New Roman" w:cs="Times New Roman"/>
          <w:sz w:val="24"/>
          <w:szCs w:val="24"/>
        </w:rPr>
        <w:t>Digital Connectivity needs to be secure and resilient, mitigating risks in networks and preserving citizens</w:t>
      </w:r>
      <w:r w:rsidR="00463B74">
        <w:rPr>
          <w:rFonts w:ascii="Times New Roman" w:hAnsi="Times New Roman" w:cs="Times New Roman"/>
          <w:sz w:val="24"/>
          <w:szCs w:val="24"/>
        </w:rPr>
        <w:t>’</w:t>
      </w:r>
      <w:r w:rsidR="00D424E5">
        <w:rPr>
          <w:rFonts w:ascii="Times New Roman" w:hAnsi="Times New Roman" w:cs="Times New Roman"/>
          <w:sz w:val="24"/>
          <w:szCs w:val="24"/>
        </w:rPr>
        <w:t xml:space="preserve"> privacy and integrity. </w:t>
      </w:r>
      <w:r>
        <w:rPr>
          <w:rFonts w:ascii="Times New Roman" w:hAnsi="Times New Roman" w:cs="Times New Roman"/>
          <w:sz w:val="24"/>
          <w:szCs w:val="24"/>
        </w:rPr>
        <w:t>As recalled in the Economic and Investment Plan for the Western Balkans, d</w:t>
      </w:r>
      <w:r w:rsidRPr="00973178">
        <w:rPr>
          <w:rFonts w:ascii="Times New Roman" w:hAnsi="Times New Roman" w:cs="Times New Roman"/>
          <w:sz w:val="24"/>
          <w:szCs w:val="24"/>
        </w:rPr>
        <w:t xml:space="preserve">igitalisation represents an opportunity </w:t>
      </w:r>
      <w:r>
        <w:rPr>
          <w:rFonts w:ascii="Times New Roman" w:hAnsi="Times New Roman" w:cs="Times New Roman"/>
          <w:sz w:val="24"/>
          <w:szCs w:val="24"/>
        </w:rPr>
        <w:t xml:space="preserve">as well as a challenge </w:t>
      </w:r>
      <w:r w:rsidRPr="00973178">
        <w:rPr>
          <w:rFonts w:ascii="Times New Roman" w:hAnsi="Times New Roman" w:cs="Times New Roman"/>
          <w:sz w:val="24"/>
          <w:szCs w:val="24"/>
        </w:rPr>
        <w:t>for many sectors of the economy and societies in the region. Digital services represent an increasing share of exports from the Western Balkans.</w:t>
      </w:r>
      <w:r>
        <w:rPr>
          <w:rFonts w:ascii="Times New Roman" w:hAnsi="Times New Roman" w:cs="Times New Roman"/>
          <w:sz w:val="24"/>
          <w:szCs w:val="24"/>
        </w:rPr>
        <w:t xml:space="preserve"> </w:t>
      </w:r>
      <w:r w:rsidRPr="36BE81E9">
        <w:rPr>
          <w:rFonts w:ascii="Times New Roman" w:hAnsi="Times New Roman" w:cs="Times New Roman"/>
          <w:sz w:val="24"/>
          <w:szCs w:val="24"/>
        </w:rPr>
        <w:t>It is important to include the IPA III beneficiaries in the EU’s</w:t>
      </w:r>
      <w:r w:rsidR="00D424E5" w:rsidRPr="00D424E5">
        <w:rPr>
          <w:rFonts w:ascii="Times New Roman" w:hAnsi="Times New Roman" w:cs="Times New Roman"/>
          <w:sz w:val="24"/>
          <w:szCs w:val="24"/>
        </w:rPr>
        <w:t xml:space="preserve"> </w:t>
      </w:r>
      <w:r w:rsidR="00D424E5" w:rsidRPr="36BE81E9">
        <w:rPr>
          <w:rFonts w:ascii="Times New Roman" w:hAnsi="Times New Roman" w:cs="Times New Roman"/>
          <w:sz w:val="24"/>
          <w:szCs w:val="24"/>
        </w:rPr>
        <w:t>efforts to embrace technological change and</w:t>
      </w:r>
      <w:r w:rsidRPr="36BE81E9">
        <w:rPr>
          <w:rFonts w:ascii="Times New Roman" w:hAnsi="Times New Roman" w:cs="Times New Roman"/>
          <w:sz w:val="24"/>
          <w:szCs w:val="24"/>
        </w:rPr>
        <w:t xml:space="preserve"> to </w:t>
      </w:r>
      <w:r w:rsidR="00D424E5">
        <w:rPr>
          <w:rFonts w:ascii="Times New Roman" w:hAnsi="Times New Roman" w:cs="Times New Roman"/>
          <w:sz w:val="24"/>
          <w:szCs w:val="24"/>
        </w:rPr>
        <w:t xml:space="preserve"> </w:t>
      </w:r>
      <w:r w:rsidR="00D424E5" w:rsidRPr="36BE81E9">
        <w:rPr>
          <w:rFonts w:ascii="Times New Roman" w:hAnsi="Times New Roman" w:cs="Times New Roman"/>
          <w:sz w:val="24"/>
          <w:szCs w:val="24"/>
        </w:rPr>
        <w:t xml:space="preserve">avoid a widening digital gap between </w:t>
      </w:r>
      <w:r w:rsidR="00463B74">
        <w:rPr>
          <w:rFonts w:ascii="Times New Roman" w:hAnsi="Times New Roman" w:cs="Times New Roman"/>
          <w:sz w:val="24"/>
          <w:szCs w:val="24"/>
        </w:rPr>
        <w:t xml:space="preserve">them and the </w:t>
      </w:r>
      <w:r w:rsidR="00D424E5" w:rsidRPr="36BE81E9">
        <w:rPr>
          <w:rFonts w:ascii="Times New Roman" w:hAnsi="Times New Roman" w:cs="Times New Roman"/>
          <w:sz w:val="24"/>
          <w:szCs w:val="24"/>
        </w:rPr>
        <w:t>EU.</w:t>
      </w:r>
      <w:r w:rsidR="00D424E5">
        <w:rPr>
          <w:rFonts w:ascii="Times New Roman" w:hAnsi="Times New Roman" w:cs="Times New Roman"/>
          <w:sz w:val="24"/>
          <w:szCs w:val="24"/>
        </w:rPr>
        <w:t>. T</w:t>
      </w:r>
      <w:r w:rsidRPr="36BE81E9">
        <w:rPr>
          <w:rFonts w:ascii="Times New Roman" w:hAnsi="Times New Roman" w:cs="Times New Roman"/>
          <w:sz w:val="24"/>
          <w:szCs w:val="24"/>
        </w:rPr>
        <w:t xml:space="preserve">his will hinge upon the alignment with and the implementation of the 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and the implementation of the Digital Agenda.</w:t>
      </w:r>
    </w:p>
    <w:p w14:paraId="3B24D280" w14:textId="12E8F37E"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With growing connectivity, the importance of cybersecurity and resilience will continue growing in the future. Operators of essential services in key sectors such as healthcare, transport, energy, banking, digital infrastructure and water supply should have the necessary capacities to take appropriate security measures based on EU values and principles. </w:t>
      </w:r>
      <w:r w:rsidR="00D424E5" w:rsidRPr="36BE81E9">
        <w:rPr>
          <w:rFonts w:ascii="Times New Roman" w:hAnsi="Times New Roman" w:cs="Times New Roman"/>
          <w:sz w:val="24"/>
          <w:szCs w:val="24"/>
        </w:rPr>
        <w:t xml:space="preserve">As candidates or potential candidates, the Western Balkan and Turkey should adopt the EU 5G toolbox mitigating risks in the networks. </w:t>
      </w:r>
      <w:r w:rsidRPr="36BE81E9">
        <w:rPr>
          <w:rFonts w:ascii="Times New Roman" w:hAnsi="Times New Roman" w:cs="Times New Roman"/>
          <w:sz w:val="24"/>
          <w:szCs w:val="24"/>
        </w:rPr>
        <w:t>It is particularly important to reduce the digital gap between rural and urban areas.</w:t>
      </w:r>
    </w:p>
    <w:p w14:paraId="0EAC57F6" w14:textId="48D2BFB6"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Digitalisation of the industry and digital skills development in all layers of society are crucial to boosting employability and for active participation in and contribution to the digital economy</w:t>
      </w:r>
      <w:r>
        <w:rPr>
          <w:rFonts w:ascii="Times New Roman" w:hAnsi="Times New Roman" w:cs="Times New Roman"/>
          <w:sz w:val="24"/>
          <w:szCs w:val="24"/>
        </w:rPr>
        <w:t xml:space="preserve"> in line with the </w:t>
      </w:r>
      <w:r w:rsidRPr="002E5F89">
        <w:rPr>
          <w:rFonts w:ascii="Times New Roman" w:hAnsi="Times New Roman" w:cs="Times New Roman"/>
          <w:sz w:val="24"/>
          <w:szCs w:val="24"/>
        </w:rPr>
        <w:t>Digital Education Action Plan 2021-2027</w:t>
      </w:r>
      <w:r w:rsidR="00463B74">
        <w:rPr>
          <w:rFonts w:ascii="Times New Roman" w:hAnsi="Times New Roman" w:cs="Times New Roman"/>
          <w:sz w:val="24"/>
          <w:szCs w:val="24"/>
        </w:rPr>
        <w:t>.</w:t>
      </w:r>
      <w:r w:rsidR="00463B74">
        <w:rPr>
          <w:rStyle w:val="DipnotBavurusu"/>
          <w:rFonts w:ascii="Times New Roman" w:hAnsi="Times New Roman" w:cs="Times New Roman"/>
          <w:sz w:val="24"/>
          <w:szCs w:val="24"/>
        </w:rPr>
        <w:footnoteReference w:id="33"/>
      </w:r>
      <w:r w:rsidR="00463B74">
        <w:rPr>
          <w:rFonts w:ascii="Times New Roman" w:hAnsi="Times New Roman" w:cs="Times New Roman"/>
          <w:sz w:val="24"/>
          <w:szCs w:val="24"/>
        </w:rPr>
        <w:t xml:space="preserve"> The Action Plan, adopted in September 2020,</w:t>
      </w:r>
      <w:r w:rsidRPr="002E5F89">
        <w:rPr>
          <w:rFonts w:ascii="Times New Roman" w:hAnsi="Times New Roman" w:cs="Times New Roman"/>
          <w:sz w:val="24"/>
          <w:szCs w:val="24"/>
        </w:rPr>
        <w:t xml:space="preserve"> supports education and training systems in addressing the challenges of the COVID-19 crisis and the longer-term digital transformation. </w:t>
      </w:r>
      <w:r w:rsidRPr="36BE81E9">
        <w:rPr>
          <w:rFonts w:ascii="Times New Roman" w:hAnsi="Times New Roman" w:cs="Times New Roman"/>
          <w:sz w:val="24"/>
          <w:szCs w:val="24"/>
        </w:rPr>
        <w:t>The media landscape has shifted, too, requiring adjusted actions towards regulatory independence and protection of minors in digital media.</w:t>
      </w:r>
    </w:p>
    <w:p w14:paraId="0AEB9CFB" w14:textId="1226D6C8" w:rsidR="004B3B11" w:rsidRDefault="005739B7" w:rsidP="005739B7">
      <w:pPr>
        <w:spacing w:after="120" w:line="240" w:lineRule="auto"/>
        <w:jc w:val="both"/>
        <w:rPr>
          <w:rFonts w:ascii="Times New Roman" w:hAnsi="Times New Roman" w:cs="Times New Roman"/>
          <w:sz w:val="24"/>
          <w:szCs w:val="24"/>
        </w:rPr>
      </w:pPr>
      <w:r w:rsidRPr="004D5373">
        <w:rPr>
          <w:rFonts w:ascii="Times New Roman" w:hAnsi="Times New Roman" w:cs="Times New Roman"/>
          <w:sz w:val="24"/>
          <w:szCs w:val="24"/>
        </w:rPr>
        <w:t xml:space="preserve">The open and free data </w:t>
      </w:r>
      <w:r>
        <w:rPr>
          <w:rFonts w:ascii="Times New Roman" w:hAnsi="Times New Roman" w:cs="Times New Roman"/>
          <w:sz w:val="24"/>
          <w:szCs w:val="24"/>
        </w:rPr>
        <w:t>and services of the</w:t>
      </w:r>
      <w:r w:rsidRPr="004D5373">
        <w:rPr>
          <w:rFonts w:ascii="Times New Roman" w:hAnsi="Times New Roman" w:cs="Times New Roman"/>
          <w:sz w:val="24"/>
          <w:szCs w:val="24"/>
        </w:rPr>
        <w:t xml:space="preserve"> EU</w:t>
      </w:r>
      <w:r>
        <w:rPr>
          <w:rFonts w:ascii="Times New Roman" w:hAnsi="Times New Roman" w:cs="Times New Roman"/>
          <w:sz w:val="24"/>
          <w:szCs w:val="24"/>
        </w:rPr>
        <w:t>’s</w:t>
      </w:r>
      <w:r w:rsidRPr="004D5373">
        <w:rPr>
          <w:rFonts w:ascii="Times New Roman" w:hAnsi="Times New Roman" w:cs="Times New Roman"/>
          <w:sz w:val="24"/>
          <w:szCs w:val="24"/>
        </w:rPr>
        <w:t xml:space="preserve"> </w:t>
      </w:r>
      <w:r>
        <w:rPr>
          <w:rFonts w:ascii="Times New Roman" w:hAnsi="Times New Roman" w:cs="Times New Roman"/>
          <w:sz w:val="24"/>
          <w:szCs w:val="24"/>
        </w:rPr>
        <w:t>space programmes Copernicus and Galileo</w:t>
      </w:r>
      <w:r w:rsidRPr="004D5373">
        <w:rPr>
          <w:rFonts w:ascii="Times New Roman" w:hAnsi="Times New Roman" w:cs="Times New Roman"/>
          <w:sz w:val="24"/>
          <w:szCs w:val="24"/>
        </w:rPr>
        <w:t xml:space="preserve"> create jobs, help tackle societal challenges in a cost-effective manner and are key in the modernisation and digitalisation of the economy. They contribute to smart and safe transport (including automated and connected solutions), green cities, sustainable management of natural resources and efficient agriculture. Space data and space-based applications can signi</w:t>
      </w:r>
      <w:r>
        <w:rPr>
          <w:rFonts w:ascii="Times New Roman" w:hAnsi="Times New Roman" w:cs="Times New Roman"/>
          <w:sz w:val="24"/>
          <w:szCs w:val="24"/>
        </w:rPr>
        <w:t>ficantly contribute at national and</w:t>
      </w:r>
      <w:r w:rsidRPr="004D5373">
        <w:rPr>
          <w:rFonts w:ascii="Times New Roman" w:hAnsi="Times New Roman" w:cs="Times New Roman"/>
          <w:sz w:val="24"/>
          <w:szCs w:val="24"/>
        </w:rPr>
        <w:t xml:space="preserve"> regional level to achieving the Sustainable Development Goals, the climate objectives and emergency response. </w:t>
      </w:r>
      <w:r>
        <w:rPr>
          <w:rFonts w:ascii="Times New Roman" w:hAnsi="Times New Roman" w:cs="Times New Roman"/>
          <w:sz w:val="24"/>
          <w:szCs w:val="24"/>
        </w:rPr>
        <w:t xml:space="preserve">They </w:t>
      </w:r>
      <w:r w:rsidRPr="004D5373">
        <w:rPr>
          <w:rFonts w:ascii="Times New Roman" w:hAnsi="Times New Roman" w:cs="Times New Roman"/>
          <w:sz w:val="24"/>
          <w:szCs w:val="24"/>
        </w:rPr>
        <w:t xml:space="preserve">can boost </w:t>
      </w:r>
      <w:r>
        <w:rPr>
          <w:rFonts w:ascii="Times New Roman" w:hAnsi="Times New Roman" w:cs="Times New Roman"/>
          <w:sz w:val="24"/>
          <w:szCs w:val="24"/>
        </w:rPr>
        <w:t>the</w:t>
      </w:r>
      <w:r w:rsidRPr="004D5373">
        <w:rPr>
          <w:rFonts w:ascii="Times New Roman" w:hAnsi="Times New Roman" w:cs="Times New Roman"/>
          <w:sz w:val="24"/>
          <w:szCs w:val="24"/>
        </w:rPr>
        <w:t xml:space="preserve"> private sector, enabling</w:t>
      </w:r>
      <w:r>
        <w:rPr>
          <w:rFonts w:ascii="Times New Roman" w:hAnsi="Times New Roman" w:cs="Times New Roman"/>
          <w:sz w:val="24"/>
          <w:szCs w:val="24"/>
        </w:rPr>
        <w:t xml:space="preserve"> in particular</w:t>
      </w:r>
      <w:r w:rsidRPr="004D5373">
        <w:rPr>
          <w:rFonts w:ascii="Times New Roman" w:hAnsi="Times New Roman" w:cs="Times New Roman"/>
          <w:sz w:val="24"/>
          <w:szCs w:val="24"/>
        </w:rPr>
        <w:t xml:space="preserve"> start-ups and SMEs to develop local innovative solutions and services. Satellite-based positioning and timing services are essential in efficient transport and logistics, in time synchronisation of electricity networks, in infrastructure construction, mapping and surveying. EGNOS, </w:t>
      </w:r>
      <w:r>
        <w:rPr>
          <w:rFonts w:ascii="Times New Roman" w:hAnsi="Times New Roman" w:cs="Times New Roman"/>
          <w:sz w:val="24"/>
          <w:szCs w:val="24"/>
        </w:rPr>
        <w:t>the EU’s</w:t>
      </w:r>
      <w:r w:rsidRPr="004D5373">
        <w:rPr>
          <w:rFonts w:ascii="Times New Roman" w:hAnsi="Times New Roman" w:cs="Times New Roman"/>
          <w:sz w:val="24"/>
          <w:szCs w:val="24"/>
        </w:rPr>
        <w:t xml:space="preserve"> regional satellite-based augmentation system, helps build a single, safer and more sustainable transport area with </w:t>
      </w:r>
      <w:r>
        <w:rPr>
          <w:rFonts w:ascii="Times New Roman" w:hAnsi="Times New Roman" w:cs="Times New Roman"/>
          <w:sz w:val="24"/>
          <w:szCs w:val="24"/>
        </w:rPr>
        <w:t xml:space="preserve">the </w:t>
      </w:r>
      <w:r w:rsidRPr="004D5373">
        <w:rPr>
          <w:rFonts w:ascii="Times New Roman" w:hAnsi="Times New Roman" w:cs="Times New Roman"/>
          <w:sz w:val="24"/>
          <w:szCs w:val="24"/>
        </w:rPr>
        <w:t>Western Balkans.</w:t>
      </w:r>
      <w:r>
        <w:rPr>
          <w:rFonts w:ascii="Times New Roman" w:hAnsi="Times New Roman" w:cs="Times New Roman"/>
          <w:sz w:val="24"/>
          <w:szCs w:val="24"/>
        </w:rPr>
        <w:t xml:space="preserve"> </w:t>
      </w:r>
    </w:p>
    <w:p w14:paraId="04B73B95" w14:textId="478BFE6C" w:rsidR="005739B7" w:rsidRDefault="005739B7" w:rsidP="005739B7">
      <w:pPr>
        <w:spacing w:after="120" w:line="240" w:lineRule="auto"/>
        <w:jc w:val="both"/>
        <w:rPr>
          <w:rFonts w:ascii="Times New Roman" w:hAnsi="Times New Roman" w:cs="Times New Roman"/>
          <w:sz w:val="24"/>
          <w:szCs w:val="24"/>
        </w:rPr>
      </w:pPr>
      <w:r w:rsidRPr="00206F86">
        <w:rPr>
          <w:rFonts w:ascii="Times New Roman" w:eastAsia="Times New Roman" w:hAnsi="Times New Roman" w:cs="Times New Roman"/>
          <w:sz w:val="24"/>
          <w:szCs w:val="24"/>
        </w:rPr>
        <w:t xml:space="preserve">Support in the field of </w:t>
      </w:r>
      <w:r w:rsidRPr="00206F86">
        <w:rPr>
          <w:rFonts w:ascii="Times New Roman" w:eastAsia="Times New Roman" w:hAnsi="Times New Roman" w:cs="Times New Roman"/>
          <w:b/>
          <w:sz w:val="24"/>
          <w:szCs w:val="24"/>
        </w:rPr>
        <w:t xml:space="preserve">energy </w:t>
      </w:r>
      <w:r w:rsidRPr="00206F86">
        <w:rPr>
          <w:rFonts w:ascii="Times New Roman" w:eastAsia="Times New Roman" w:hAnsi="Times New Roman" w:cs="Times New Roman"/>
          <w:sz w:val="24"/>
          <w:szCs w:val="24"/>
        </w:rPr>
        <w:t>will be reinforced</w:t>
      </w:r>
      <w:r>
        <w:rPr>
          <w:rFonts w:ascii="Times New Roman" w:eastAsia="Times New Roman" w:hAnsi="Times New Roman" w:cs="Times New Roman"/>
          <w:sz w:val="24"/>
          <w:szCs w:val="24"/>
        </w:rPr>
        <w:t xml:space="preserve">. Strong emphasis will be put </w:t>
      </w:r>
      <w:r w:rsidRPr="00206F86">
        <w:rPr>
          <w:rFonts w:ascii="Times New Roman" w:eastAsia="Times New Roman" w:hAnsi="Times New Roman" w:cs="Times New Roman"/>
          <w:sz w:val="24"/>
          <w:szCs w:val="24"/>
        </w:rPr>
        <w:t>on energy market integration</w:t>
      </w:r>
      <w:r>
        <w:rPr>
          <w:rFonts w:ascii="Times New Roman" w:eastAsia="Times New Roman" w:hAnsi="Times New Roman" w:cs="Times New Roman"/>
          <w:sz w:val="24"/>
          <w:szCs w:val="24"/>
        </w:rPr>
        <w:t xml:space="preserve"> (</w:t>
      </w:r>
      <w:r w:rsidRPr="36BE81E9">
        <w:rPr>
          <w:rFonts w:ascii="Times New Roman" w:hAnsi="Times New Roman" w:cs="Times New Roman"/>
          <w:sz w:val="24"/>
          <w:szCs w:val="24"/>
        </w:rPr>
        <w:t>including within the framework of the Energy Community Treaty</w:t>
      </w:r>
      <w:r>
        <w:rPr>
          <w:rFonts w:ascii="Times New Roman" w:hAnsi="Times New Roman" w:cs="Times New Roman"/>
          <w:sz w:val="24"/>
          <w:szCs w:val="24"/>
        </w:rPr>
        <w:t>)</w:t>
      </w:r>
      <w:r w:rsidRPr="00206F86">
        <w:rPr>
          <w:rFonts w:ascii="Times New Roman" w:eastAsia="Times New Roman" w:hAnsi="Times New Roman" w:cs="Times New Roman"/>
          <w:sz w:val="24"/>
          <w:szCs w:val="24"/>
        </w:rPr>
        <w:t>, decarbonisation and just transition, increased digitalisation of the system and smart grids</w:t>
      </w:r>
      <w:r>
        <w:rPr>
          <w:rFonts w:ascii="Times New Roman" w:eastAsia="Times New Roman" w:hAnsi="Times New Roman" w:cs="Times New Roman"/>
          <w:sz w:val="24"/>
          <w:szCs w:val="24"/>
        </w:rPr>
        <w:t xml:space="preserve">, </w:t>
      </w:r>
      <w:r w:rsidR="00D44E71" w:rsidRPr="0067248D">
        <w:rPr>
          <w:rFonts w:ascii="Times New Roman" w:eastAsia="Times New Roman" w:hAnsi="Times New Roman" w:cs="Times New Roman"/>
          <w:sz w:val="24"/>
          <w:szCs w:val="24"/>
        </w:rPr>
        <w:t xml:space="preserve">demand-side and supply-side, </w:t>
      </w:r>
      <w:r w:rsidRPr="0067248D">
        <w:rPr>
          <w:rFonts w:ascii="Times New Roman" w:eastAsia="Times New Roman" w:hAnsi="Times New Roman" w:cs="Times New Roman"/>
          <w:sz w:val="24"/>
          <w:szCs w:val="24"/>
        </w:rPr>
        <w:t xml:space="preserve">energy efficiency, including modernisation of district heating, and energy security. </w:t>
      </w:r>
      <w:r w:rsidRPr="0067248D">
        <w:rPr>
          <w:rFonts w:ascii="Times New Roman" w:hAnsi="Times New Roman" w:cs="Times New Roman"/>
          <w:sz w:val="24"/>
          <w:szCs w:val="24"/>
        </w:rPr>
        <w:t>Data and electronic communication technologies can support the decarbonisation of the energy system.</w:t>
      </w:r>
      <w:r w:rsidRPr="0067248D">
        <w:rPr>
          <w:rFonts w:ascii="Times New Roman" w:eastAsia="Times New Roman" w:hAnsi="Times New Roman" w:cs="Times New Roman"/>
          <w:sz w:val="24"/>
          <w:szCs w:val="24"/>
        </w:rPr>
        <w:t xml:space="preserve"> Decarbonisation is a key pillar of the Economic and Investment Plan for the Western Balkans, in line with the aims of the European Green Deal. </w:t>
      </w:r>
      <w:r w:rsidR="00F574C5" w:rsidRPr="0067248D">
        <w:rPr>
          <w:rFonts w:ascii="Times New Roman" w:eastAsia="Times New Roman" w:hAnsi="Times New Roman" w:cs="Times New Roman"/>
          <w:sz w:val="24"/>
          <w:szCs w:val="24"/>
        </w:rPr>
        <w:t>While promoting renewables-based power generation remains the medium term priority, in regions heavily dependent on coal, whenever there is no technologically and economically feasible low-carbon alternative, gas could play a role as transition fuel for a fast reduction of greenhouse gas emissions and for curbing air pollution, while bringing also benefits in terms of energy diversification and providing flexibility to the electricity grid that can help integrate variable renewable generation capacities. In order to accelerate the clean energy transition and avoid lock in effects and inefficient investment, the most effective and appropriate way forward should be identified with each partner, taking into account the specific circumstances. The potential to decrease carbon intensity of gas network should be assessed, methane leakage avoided and all new gas infrastructure need to be future-proof and, over the medium to long term, be shifted from transporting natural gas to renewable gas or hydrogen, as soon as they are available and competitive. E</w:t>
      </w:r>
      <w:r w:rsidRPr="0067248D">
        <w:rPr>
          <w:rFonts w:ascii="Times New Roman" w:hAnsi="Times New Roman" w:cs="Times New Roman"/>
          <w:sz w:val="24"/>
          <w:szCs w:val="24"/>
        </w:rPr>
        <w:t xml:space="preserve">nergy efficiency remains the most effective way to meet carbon reduction targets, reduce energy costs and dependence on imports, in particular in a region featuring an energy intensity that is much higher than the average EU one. </w:t>
      </w:r>
      <w:r w:rsidR="007315F8" w:rsidRPr="0067248D">
        <w:rPr>
          <w:rFonts w:ascii="Times New Roman" w:hAnsi="Times New Roman" w:cs="Times New Roman"/>
          <w:sz w:val="24"/>
          <w:szCs w:val="24"/>
        </w:rPr>
        <w:t>The long-term objective of climate neutrality should be kept in mind and with it the role that renewable gas and hydrogen can play (in line with the EU</w:t>
      </w:r>
      <w:r w:rsidR="007315F8" w:rsidRPr="007315F8">
        <w:rPr>
          <w:rFonts w:ascii="Times New Roman" w:hAnsi="Times New Roman" w:cs="Times New Roman"/>
          <w:sz w:val="24"/>
          <w:szCs w:val="24"/>
        </w:rPr>
        <w:t xml:space="preserve"> Hydrogen Strategy</w:t>
      </w:r>
      <w:r w:rsidR="00C44F01">
        <w:rPr>
          <w:rStyle w:val="DipnotBavurusu"/>
          <w:rFonts w:ascii="Times New Roman" w:hAnsi="Times New Roman" w:cs="Times New Roman"/>
          <w:sz w:val="24"/>
          <w:szCs w:val="24"/>
        </w:rPr>
        <w:footnoteReference w:id="34"/>
      </w:r>
      <w:r w:rsidR="007315F8" w:rsidRPr="007315F8">
        <w:rPr>
          <w:rFonts w:ascii="Times New Roman" w:hAnsi="Times New Roman" w:cs="Times New Roman"/>
          <w:sz w:val="24"/>
          <w:szCs w:val="24"/>
        </w:rPr>
        <w:t xml:space="preserve">).  </w:t>
      </w:r>
    </w:p>
    <w:p w14:paraId="047573FC" w14:textId="1B66B8EA" w:rsidR="005739B7" w:rsidRPr="005F12F6" w:rsidRDefault="005739B7" w:rsidP="005739B7">
      <w:pPr>
        <w:spacing w:after="120" w:line="240" w:lineRule="auto"/>
        <w:jc w:val="both"/>
        <w:rPr>
          <w:rFonts w:ascii="Times New Roman" w:eastAsia="Times New Roman" w:hAnsi="Times New Roman" w:cs="Times New Roman"/>
          <w:sz w:val="24"/>
          <w:szCs w:val="24"/>
        </w:rPr>
      </w:pPr>
      <w:r w:rsidRPr="00A84A79">
        <w:rPr>
          <w:rFonts w:ascii="Times New Roman" w:hAnsi="Times New Roman" w:cs="Times New Roman"/>
          <w:sz w:val="24"/>
          <w:szCs w:val="24"/>
        </w:rPr>
        <w:t xml:space="preserve">Investing in renewable </w:t>
      </w:r>
      <w:r w:rsidR="004D1620">
        <w:rPr>
          <w:rFonts w:ascii="Times New Roman" w:hAnsi="Times New Roman" w:cs="Times New Roman"/>
          <w:sz w:val="24"/>
          <w:szCs w:val="24"/>
        </w:rPr>
        <w:t xml:space="preserve">and clean </w:t>
      </w:r>
      <w:r w:rsidRPr="00A84A79">
        <w:rPr>
          <w:rFonts w:ascii="Times New Roman" w:hAnsi="Times New Roman" w:cs="Times New Roman"/>
          <w:sz w:val="24"/>
          <w:szCs w:val="24"/>
        </w:rPr>
        <w:t xml:space="preserve">energy (including marine renewable energy) is another priority. </w:t>
      </w:r>
      <w:r w:rsidRPr="36BE81E9">
        <w:rPr>
          <w:rFonts w:ascii="Times New Roman" w:hAnsi="Times New Roman" w:cs="Times New Roman"/>
          <w:sz w:val="24"/>
          <w:szCs w:val="24"/>
        </w:rPr>
        <w:t>In parallel, coal and carbon intensive regions (in transition) will be supported in the process of their economic diversification and transition to a low-carbon</w:t>
      </w:r>
      <w:r w:rsidR="004D1620">
        <w:rPr>
          <w:rFonts w:ascii="Times New Roman" w:hAnsi="Times New Roman" w:cs="Times New Roman"/>
          <w:sz w:val="24"/>
          <w:szCs w:val="24"/>
        </w:rPr>
        <w:t>, cleaner and energy efficient</w:t>
      </w:r>
      <w:r w:rsidRPr="36BE81E9">
        <w:rPr>
          <w:rFonts w:ascii="Times New Roman" w:hAnsi="Times New Roman" w:cs="Times New Roman"/>
          <w:sz w:val="24"/>
          <w:szCs w:val="24"/>
        </w:rPr>
        <w:t xml:space="preserve"> economy.</w:t>
      </w:r>
      <w:r>
        <w:rPr>
          <w:rFonts w:ascii="Times New Roman" w:hAnsi="Times New Roman" w:cs="Times New Roman"/>
          <w:sz w:val="24"/>
          <w:szCs w:val="24"/>
        </w:rPr>
        <w:t xml:space="preserve"> C</w:t>
      </w:r>
      <w:r w:rsidRPr="00BD6861">
        <w:rPr>
          <w:rFonts w:ascii="Times New Roman" w:eastAsia="Times New Roman" w:hAnsi="Times New Roman"/>
          <w:sz w:val="24"/>
          <w:szCs w:val="24"/>
        </w:rPr>
        <w:t xml:space="preserve">onsiderations for </w:t>
      </w:r>
      <w:r w:rsidRPr="006C2BA4">
        <w:rPr>
          <w:rFonts w:ascii="Times New Roman" w:eastAsia="Times New Roman" w:hAnsi="Times New Roman"/>
          <w:sz w:val="24"/>
          <w:szCs w:val="24"/>
        </w:rPr>
        <w:t>carbon pricing options as</w:t>
      </w:r>
      <w:r w:rsidRPr="00BD6861">
        <w:rPr>
          <w:rFonts w:ascii="Times New Roman" w:eastAsia="Times New Roman" w:hAnsi="Times New Roman"/>
          <w:sz w:val="24"/>
          <w:szCs w:val="24"/>
        </w:rPr>
        <w:t xml:space="preserve"> way to support climate objectives</w:t>
      </w:r>
      <w:r>
        <w:rPr>
          <w:rFonts w:ascii="Times New Roman" w:eastAsia="Times New Roman" w:hAnsi="Times New Roman"/>
          <w:sz w:val="24"/>
          <w:szCs w:val="24"/>
        </w:rPr>
        <w:t xml:space="preserve"> will be taken into account. IPA III beneficiaries will be</w:t>
      </w:r>
      <w:r w:rsidRPr="00BD6861">
        <w:rPr>
          <w:rFonts w:ascii="Times New Roman" w:eastAsia="Times New Roman" w:hAnsi="Times New Roman"/>
          <w:sz w:val="24"/>
          <w:szCs w:val="24"/>
        </w:rPr>
        <w:t xml:space="preserve"> encourage</w:t>
      </w:r>
      <w:r>
        <w:rPr>
          <w:rFonts w:ascii="Times New Roman" w:eastAsia="Times New Roman" w:hAnsi="Times New Roman"/>
          <w:sz w:val="24"/>
          <w:szCs w:val="24"/>
        </w:rPr>
        <w:t>d</w:t>
      </w:r>
      <w:r w:rsidRPr="00BD6861">
        <w:rPr>
          <w:rFonts w:ascii="Times New Roman" w:eastAsia="Times New Roman" w:hAnsi="Times New Roman"/>
          <w:sz w:val="24"/>
          <w:szCs w:val="24"/>
        </w:rPr>
        <w:t xml:space="preserve"> to explore appropriate carbon pricing instrument</w:t>
      </w:r>
      <w:r>
        <w:rPr>
          <w:rFonts w:ascii="Times New Roman" w:eastAsia="Times New Roman" w:hAnsi="Times New Roman"/>
          <w:sz w:val="24"/>
          <w:szCs w:val="24"/>
        </w:rPr>
        <w:t>s</w:t>
      </w:r>
      <w:r w:rsidRPr="00BD6861">
        <w:rPr>
          <w:rFonts w:ascii="Times New Roman" w:eastAsia="Times New Roman" w:hAnsi="Times New Roman"/>
          <w:sz w:val="24"/>
          <w:szCs w:val="24"/>
        </w:rPr>
        <w:t xml:space="preserve"> that could trigger investments into renewable energy and energy efficiency while contributing to orienting consumers’ behaviour towards more effective energy management</w:t>
      </w:r>
      <w:r>
        <w:rPr>
          <w:rFonts w:ascii="Times New Roman" w:eastAsia="Times New Roman" w:hAnsi="Times New Roman"/>
          <w:sz w:val="24"/>
          <w:szCs w:val="24"/>
        </w:rPr>
        <w:t xml:space="preserve">. </w:t>
      </w:r>
      <w:r w:rsidRPr="36BE81E9">
        <w:rPr>
          <w:rFonts w:ascii="Times New Roman" w:hAnsi="Times New Roman" w:cs="Times New Roman"/>
          <w:sz w:val="24"/>
          <w:szCs w:val="24"/>
        </w:rPr>
        <w:t xml:space="preserve">IPA III will </w:t>
      </w:r>
      <w:r>
        <w:rPr>
          <w:rFonts w:ascii="Times New Roman" w:hAnsi="Times New Roman" w:cs="Times New Roman"/>
          <w:sz w:val="24"/>
          <w:szCs w:val="24"/>
        </w:rPr>
        <w:t xml:space="preserve">also </w:t>
      </w:r>
      <w:r w:rsidRPr="36BE81E9">
        <w:rPr>
          <w:rFonts w:ascii="Times New Roman" w:hAnsi="Times New Roman" w:cs="Times New Roman"/>
          <w:sz w:val="24"/>
          <w:szCs w:val="24"/>
        </w:rPr>
        <w:t>continue supporting institutional and regulatory reform measures, through the alignment with and the implementation of the EU</w:t>
      </w:r>
      <w:r>
        <w:rPr>
          <w:rFonts w:ascii="Times New Roman" w:hAnsi="Times New Roman" w:cs="Times New Roman"/>
          <w:sz w:val="24"/>
          <w:szCs w:val="24"/>
        </w:rPr>
        <w:t xml:space="preserve"> </w:t>
      </w:r>
      <w:r>
        <w:rPr>
          <w:rFonts w:ascii="Times New Roman" w:hAnsi="Times New Roman" w:cs="Times New Roman"/>
          <w:i/>
          <w:sz w:val="24"/>
          <w:szCs w:val="24"/>
        </w:rPr>
        <w:t>acquis.</w:t>
      </w:r>
      <w:r w:rsidRPr="36BE81E9">
        <w:rPr>
          <w:rFonts w:ascii="Times New Roman" w:hAnsi="Times New Roman" w:cs="Times New Roman"/>
          <w:sz w:val="24"/>
          <w:szCs w:val="24"/>
        </w:rPr>
        <w:t xml:space="preserve"> </w:t>
      </w:r>
    </w:p>
    <w:p w14:paraId="28EF4E8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A working energy transition must be underpinned by a functioning regional energy market since the need to de-carbonise can be addressed in a much stronger way if fragmented beneficiaries’ markets are linked together, and if they are brought closer to the EU’s energy market. Against growing global energy demand and competition, IPA III will support beneficiaries’ energy security through regional cooperation, better cross-border interconnections, diversification of sources and routes and a balanced energy mix.</w:t>
      </w:r>
    </w:p>
    <w:p w14:paraId="7FA3A165" w14:textId="0FA4AE0C" w:rsidR="005739B7" w:rsidRPr="005742F9"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 xml:space="preserve">One of the Energy Union priority policy areas is reaching a fully-integrated internal energy market. This priority is at the core of the Energy Community Treaty to which all of the IPA III beneficiaries are members, except for Turkey, which is an observer. In this regard, the Trans-European Networks for Energy (TEN-E) strategy, which is focused on linking the energy infrastructure of EU countries, is part of the legislative framework </w:t>
      </w:r>
      <w:r>
        <w:rPr>
          <w:rFonts w:ascii="Times New Roman" w:hAnsi="Times New Roman" w:cs="Times New Roman"/>
          <w:sz w:val="24"/>
          <w:szCs w:val="24"/>
        </w:rPr>
        <w:t xml:space="preserve">of the Energy Community </w:t>
      </w:r>
      <w:r w:rsidRPr="592E4EBE">
        <w:rPr>
          <w:rFonts w:ascii="Times New Roman" w:hAnsi="Times New Roman" w:cs="Times New Roman"/>
          <w:sz w:val="24"/>
          <w:szCs w:val="24"/>
        </w:rPr>
        <w:t>and has to be adopted by all parties.</w:t>
      </w:r>
      <w:r w:rsidR="004D1620">
        <w:rPr>
          <w:rFonts w:ascii="Times New Roman" w:hAnsi="Times New Roman" w:cs="Times New Roman"/>
          <w:sz w:val="24"/>
          <w:szCs w:val="24"/>
        </w:rPr>
        <w:t xml:space="preserve"> For the members of the Energy Community Treaty, p</w:t>
      </w:r>
      <w:r w:rsidRPr="592E4EBE">
        <w:rPr>
          <w:rFonts w:ascii="Times New Roman" w:hAnsi="Times New Roman" w:cs="Times New Roman"/>
          <w:sz w:val="24"/>
          <w:szCs w:val="24"/>
        </w:rPr>
        <w:t>rojects included either in the list of projects of the Energy Community interest ("PECIs") or in the list of projects of Mutual Interest (PMI) will be given a priority status.</w:t>
      </w:r>
    </w:p>
    <w:p w14:paraId="4373AD88" w14:textId="4ED0A3D3"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Similarly, in the transport sector policy reforms and regulatory framework and integration with the EU market have to be strengthened through the Transport Community Treaty, which covers the six Western Balkan</w:t>
      </w:r>
      <w:r w:rsidR="00390763">
        <w:rPr>
          <w:rFonts w:ascii="Times New Roman" w:hAnsi="Times New Roman" w:cs="Times New Roman"/>
          <w:sz w:val="24"/>
          <w:szCs w:val="24"/>
        </w:rPr>
        <w:t xml:space="preserve"> partners</w:t>
      </w:r>
      <w:r w:rsidRPr="36BE81E9">
        <w:rPr>
          <w:rFonts w:ascii="Times New Roman" w:hAnsi="Times New Roman" w:cs="Times New Roman"/>
          <w:sz w:val="24"/>
          <w:szCs w:val="24"/>
        </w:rPr>
        <w:t xml:space="preserve">. </w:t>
      </w:r>
      <w:r w:rsidRPr="00FC2A42">
        <w:rPr>
          <w:rFonts w:ascii="Times New Roman" w:hAnsi="Times New Roman" w:cs="Times New Roman"/>
          <w:sz w:val="24"/>
          <w:szCs w:val="24"/>
        </w:rPr>
        <w:t xml:space="preserve">IPA III support allocated to transport infrastructure should be granted on the condition that already agreed connectivity reform measures are being effectively implemented and that special attention is paid to the recently endorsed Transport Community “action plans”. Only through the transposition and implementation of the EU transport </w:t>
      </w:r>
      <w:r w:rsidRPr="009F6272">
        <w:rPr>
          <w:rFonts w:ascii="Times New Roman" w:hAnsi="Times New Roman" w:cs="Times New Roman"/>
          <w:i/>
          <w:sz w:val="24"/>
          <w:szCs w:val="24"/>
        </w:rPr>
        <w:t>acquis</w:t>
      </w:r>
      <w:r w:rsidRPr="00FC2A42">
        <w:rPr>
          <w:rFonts w:ascii="Times New Roman" w:hAnsi="Times New Roman" w:cs="Times New Roman"/>
          <w:sz w:val="24"/>
          <w:szCs w:val="24"/>
        </w:rPr>
        <w:t xml:space="preserve"> will the transport system in </w:t>
      </w:r>
      <w:r>
        <w:rPr>
          <w:rFonts w:ascii="Times New Roman" w:hAnsi="Times New Roman" w:cs="Times New Roman"/>
          <w:sz w:val="24"/>
          <w:szCs w:val="24"/>
        </w:rPr>
        <w:t>the region</w:t>
      </w:r>
      <w:r w:rsidRPr="00FC2A42">
        <w:rPr>
          <w:rFonts w:ascii="Times New Roman" w:hAnsi="Times New Roman" w:cs="Times New Roman"/>
          <w:sz w:val="24"/>
          <w:szCs w:val="24"/>
        </w:rPr>
        <w:t xml:space="preserve"> be in a position to fully benefit from “Green Agenda”. </w:t>
      </w:r>
      <w:r w:rsidRPr="36BE81E9">
        <w:rPr>
          <w:rFonts w:ascii="Times New Roman" w:hAnsi="Times New Roman" w:cs="Times New Roman"/>
          <w:sz w:val="24"/>
          <w:szCs w:val="24"/>
        </w:rPr>
        <w:t xml:space="preserve">Investments and interconnection projects in the region have to be aligned with extended Trans-European Network for Transport (TEN-T) in the Western Balkans and in Turkey. </w:t>
      </w:r>
    </w:p>
    <w:p w14:paraId="47D50E67" w14:textId="3529C60C" w:rsidR="005739B7" w:rsidRPr="00672CD3" w:rsidRDefault="005739B7" w:rsidP="00355C95">
      <w:pPr>
        <w:pStyle w:val="Default"/>
        <w:jc w:val="both"/>
        <w:rPr>
          <w:rFonts w:eastAsia="Calibri"/>
          <w:lang w:val="en-US"/>
        </w:rPr>
      </w:pPr>
      <w:r w:rsidRPr="00672CD3">
        <w:rPr>
          <w:rFonts w:eastAsia="Calibri"/>
          <w:lang w:val="en-GB"/>
        </w:rPr>
        <w:t xml:space="preserve">The main chapters of the EU </w:t>
      </w:r>
      <w:r w:rsidRPr="00672CD3">
        <w:rPr>
          <w:rFonts w:eastAsia="Calibri"/>
          <w:i/>
          <w:iCs/>
          <w:lang w:val="en-GB"/>
        </w:rPr>
        <w:t xml:space="preserve">acquis </w:t>
      </w:r>
      <w:r w:rsidR="00390763" w:rsidRPr="00672CD3">
        <w:rPr>
          <w:rFonts w:eastAsia="Calibri"/>
          <w:lang w:val="en-GB"/>
        </w:rPr>
        <w:t xml:space="preserve">concerned </w:t>
      </w:r>
      <w:r w:rsidRPr="00672CD3">
        <w:rPr>
          <w:rFonts w:eastAsia="Calibri"/>
          <w:lang w:val="en-GB"/>
        </w:rPr>
        <w:t>under this section are: chapter 7 (Intellectual property rights), chapter 10 (Information society and media) chapter 14 (Transport policy), chapter 15 (Energy), chapter 21 (Trans-European networks)</w:t>
      </w:r>
      <w:r w:rsidR="00672CD3" w:rsidRPr="00672CD3">
        <w:rPr>
          <w:rFonts w:eastAsia="Calibri"/>
          <w:lang w:val="en-GB"/>
        </w:rPr>
        <w:t xml:space="preserve">, </w:t>
      </w:r>
      <w:r w:rsidR="00672CD3" w:rsidRPr="00B21938">
        <w:rPr>
          <w:rFonts w:eastAsia="Calibri"/>
          <w:lang w:val="en-US"/>
        </w:rPr>
        <w:t xml:space="preserve">distributed in clusters 2 (Internal Market), 3 (Competitiveness and Inclusive Growth) and 4 </w:t>
      </w:r>
      <w:r w:rsidR="00672CD3">
        <w:rPr>
          <w:rFonts w:eastAsia="Calibri"/>
          <w:lang w:val="en-US"/>
        </w:rPr>
        <w:t>(</w:t>
      </w:r>
      <w:r w:rsidR="00672CD3" w:rsidRPr="00B21938">
        <w:rPr>
          <w:rFonts w:eastAsia="Calibri"/>
          <w:lang w:val="en-US"/>
        </w:rPr>
        <w:t>Green agenda and sustainable connectivity</w:t>
      </w:r>
      <w:r w:rsidR="00672CD3">
        <w:rPr>
          <w:rFonts w:eastAsia="Calibri"/>
          <w:lang w:val="en-US"/>
        </w:rPr>
        <w:t>).</w:t>
      </w:r>
    </w:p>
    <w:p w14:paraId="539650A5" w14:textId="77777777" w:rsidR="005739B7" w:rsidRDefault="005739B7" w:rsidP="005739B7">
      <w:pPr>
        <w:spacing w:after="120" w:line="240" w:lineRule="auto"/>
        <w:jc w:val="both"/>
        <w:rPr>
          <w:rFonts w:ascii="Times New Roman" w:eastAsia="Calibri" w:hAnsi="Times New Roman" w:cs="Times New Roman"/>
          <w:sz w:val="24"/>
          <w:szCs w:val="24"/>
        </w:rPr>
      </w:pPr>
    </w:p>
    <w:p w14:paraId="48A0B1DE" w14:textId="08192C95" w:rsidR="005739B7" w:rsidRDefault="005739B7" w:rsidP="005739B7">
      <w:pPr>
        <w:numPr>
          <w:ilvl w:val="0"/>
          <w:numId w:val="11"/>
        </w:numPr>
        <w:spacing w:after="120" w:line="240" w:lineRule="auto"/>
        <w:ind w:left="426" w:hanging="426"/>
        <w:rPr>
          <w:rFonts w:ascii="Times New Roman" w:hAnsi="Times New Roman" w:cs="Times New Roman"/>
          <w:b/>
          <w:bCs/>
          <w:sz w:val="24"/>
          <w:szCs w:val="24"/>
        </w:rPr>
      </w:pPr>
      <w:r w:rsidRPr="36BE81E9">
        <w:rPr>
          <w:rFonts w:ascii="Times New Roman" w:hAnsi="Times New Roman" w:cs="Times New Roman"/>
          <w:b/>
          <w:bCs/>
          <w:sz w:val="24"/>
          <w:szCs w:val="24"/>
        </w:rPr>
        <w:t>Indicators</w:t>
      </w:r>
      <w:r w:rsidR="00120418">
        <w:rPr>
          <w:rStyle w:val="DipnotBavurusu"/>
          <w:rFonts w:ascii="Times New Roman" w:hAnsi="Times New Roman" w:cs="Times New Roman"/>
          <w:b/>
          <w:bCs/>
          <w:sz w:val="24"/>
          <w:szCs w:val="24"/>
        </w:rPr>
        <w:footnoteReference w:id="35"/>
      </w:r>
    </w:p>
    <w:p w14:paraId="57D46904" w14:textId="77777777" w:rsidR="005739B7" w:rsidRPr="00146FF2" w:rsidRDefault="005739B7" w:rsidP="005739B7">
      <w:pPr>
        <w:spacing w:after="120" w:line="240" w:lineRule="auto"/>
        <w:rPr>
          <w:rFonts w:ascii="Times New Roman" w:hAnsi="Times New Roman" w:cs="Times New Roman"/>
          <w:i/>
          <w:iCs/>
          <w:sz w:val="24"/>
          <w:szCs w:val="24"/>
        </w:rPr>
      </w:pPr>
      <w:r w:rsidRPr="36BE81E9">
        <w:rPr>
          <w:rFonts w:ascii="Times New Roman" w:hAnsi="Times New Roman" w:cs="Times New Roman"/>
          <w:i/>
          <w:iCs/>
          <w:sz w:val="24"/>
          <w:szCs w:val="24"/>
        </w:rPr>
        <w:t>Thematic Priority 1: Environment and climate change</w:t>
      </w:r>
    </w:p>
    <w:p w14:paraId="0ACD905A" w14:textId="043CCD49" w:rsidR="005739B7" w:rsidRDefault="005739B7" w:rsidP="005739B7">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Greenhouse gas emissions (source: European Environmental Agency) – KPI 9 of IPA III </w:t>
      </w:r>
      <w:r w:rsidR="00B446B3">
        <w:rPr>
          <w:rFonts w:ascii="Times New Roman" w:hAnsi="Times New Roman" w:cs="Times New Roman"/>
          <w:sz w:val="24"/>
          <w:szCs w:val="24"/>
        </w:rPr>
        <w:t xml:space="preserve">Regulation </w:t>
      </w:r>
    </w:p>
    <w:p w14:paraId="0B2794A1" w14:textId="26F9A670" w:rsidR="005739B7" w:rsidRPr="005742F9" w:rsidRDefault="005739B7" w:rsidP="005739B7">
      <w:pPr>
        <w:spacing w:after="120" w:line="240" w:lineRule="auto"/>
        <w:ind w:left="720"/>
        <w:contextualSpacing/>
        <w:jc w:val="both"/>
        <w:rPr>
          <w:rFonts w:ascii="Times New Roman" w:hAnsi="Times New Roman" w:cs="Times New Roman"/>
          <w:sz w:val="24"/>
          <w:szCs w:val="24"/>
        </w:rPr>
      </w:pPr>
      <w:r w:rsidRPr="36BE81E9">
        <w:rPr>
          <w:rFonts w:ascii="Times New Roman" w:hAnsi="Times New Roman" w:cs="Times New Roman"/>
          <w:sz w:val="24"/>
          <w:szCs w:val="24"/>
        </w:rPr>
        <w:t>Baseline (20</w:t>
      </w:r>
      <w:r w:rsidR="001776E8">
        <w:rPr>
          <w:rFonts w:ascii="Times New Roman" w:hAnsi="Times New Roman" w:cs="Times New Roman"/>
          <w:sz w:val="24"/>
          <w:szCs w:val="24"/>
        </w:rPr>
        <w:t>20</w:t>
      </w:r>
      <w:r w:rsidRPr="36BE81E9">
        <w:rPr>
          <w:rFonts w:ascii="Times New Roman" w:hAnsi="Times New Roman" w:cs="Times New Roman"/>
          <w:sz w:val="24"/>
          <w:szCs w:val="24"/>
        </w:rPr>
        <w:t>): Western Balkans</w:t>
      </w:r>
      <w:r w:rsidRPr="36BE81E9">
        <w:rPr>
          <w:rFonts w:ascii="Times New Roman" w:hAnsi="Times New Roman" w:cs="Times New Roman"/>
          <w:sz w:val="24"/>
          <w:szCs w:val="24"/>
          <w:vertAlign w:val="superscript"/>
        </w:rPr>
        <w:t xml:space="preserve"> </w:t>
      </w:r>
      <w:r w:rsidRPr="36BE81E9">
        <w:rPr>
          <w:rFonts w:ascii="Times New Roman" w:hAnsi="Times New Roman" w:cs="Times New Roman"/>
          <w:sz w:val="24"/>
          <w:szCs w:val="24"/>
        </w:rPr>
        <w:t>(</w:t>
      </w:r>
      <w:r w:rsidR="001776E8">
        <w:rPr>
          <w:rFonts w:ascii="Times New Roman" w:hAnsi="Times New Roman" w:cs="Times New Roman"/>
          <w:sz w:val="24"/>
          <w:szCs w:val="24"/>
        </w:rPr>
        <w:t>0</w:t>
      </w:r>
      <w:r w:rsidRPr="36BE81E9">
        <w:rPr>
          <w:rFonts w:ascii="Times New Roman" w:hAnsi="Times New Roman" w:cs="Times New Roman"/>
          <w:sz w:val="24"/>
          <w:szCs w:val="24"/>
        </w:rPr>
        <w:t>) and Turkey (</w:t>
      </w:r>
      <w:r w:rsidR="001776E8">
        <w:rPr>
          <w:rFonts w:ascii="Times New Roman" w:hAnsi="Times New Roman" w:cs="Times New Roman"/>
          <w:sz w:val="24"/>
          <w:szCs w:val="24"/>
        </w:rPr>
        <w:t>0</w:t>
      </w:r>
      <w:r w:rsidRPr="36BE81E9">
        <w:rPr>
          <w:rFonts w:ascii="Times New Roman" w:hAnsi="Times New Roman" w:cs="Times New Roman"/>
          <w:sz w:val="24"/>
          <w:szCs w:val="24"/>
        </w:rPr>
        <w:t>)</w:t>
      </w:r>
    </w:p>
    <w:p w14:paraId="087DA65B" w14:textId="7BDC20A6" w:rsidR="005739B7" w:rsidRPr="005742F9" w:rsidRDefault="005739B7" w:rsidP="005739B7">
      <w:pPr>
        <w:spacing w:after="120" w:line="240" w:lineRule="auto"/>
        <w:ind w:left="720"/>
        <w:contextualSpacing/>
        <w:jc w:val="both"/>
        <w:rPr>
          <w:rFonts w:ascii="Times New Roman" w:hAnsi="Times New Roman" w:cs="Times New Roman"/>
          <w:sz w:val="24"/>
          <w:szCs w:val="24"/>
        </w:rPr>
      </w:pPr>
      <w:r w:rsidRPr="36BE81E9">
        <w:rPr>
          <w:rFonts w:ascii="Times New Roman" w:hAnsi="Times New Roman" w:cs="Times New Roman"/>
          <w:sz w:val="24"/>
          <w:szCs w:val="24"/>
        </w:rPr>
        <w:t>Milestone (2023): Western Balkans (</w:t>
      </w:r>
      <w:r w:rsidR="00507C1A" w:rsidRPr="00507C1A">
        <w:rPr>
          <w:rFonts w:ascii="Times New Roman" w:hAnsi="Times New Roman" w:cs="Times New Roman"/>
          <w:sz w:val="24"/>
          <w:szCs w:val="24"/>
        </w:rPr>
        <w:t>105% of final 2020 results</w:t>
      </w:r>
      <w:r w:rsidRPr="36BE81E9">
        <w:rPr>
          <w:rFonts w:ascii="Times New Roman" w:hAnsi="Times New Roman" w:cs="Times New Roman"/>
          <w:sz w:val="24"/>
          <w:szCs w:val="24"/>
        </w:rPr>
        <w:t>) and Turkey (</w:t>
      </w:r>
      <w:r w:rsidR="00507C1A" w:rsidRPr="00507C1A">
        <w:rPr>
          <w:rFonts w:ascii="Times New Roman" w:hAnsi="Times New Roman" w:cs="Times New Roman"/>
          <w:sz w:val="24"/>
          <w:szCs w:val="24"/>
        </w:rPr>
        <w:t>105% of final 2020 results</w:t>
      </w:r>
      <w:r w:rsidRPr="36BE81E9">
        <w:rPr>
          <w:rFonts w:ascii="Times New Roman" w:hAnsi="Times New Roman" w:cs="Times New Roman"/>
          <w:sz w:val="24"/>
          <w:szCs w:val="24"/>
        </w:rPr>
        <w:t>)</w:t>
      </w:r>
    </w:p>
    <w:p w14:paraId="57639792" w14:textId="46DD7A23" w:rsidR="005739B7" w:rsidRPr="005742F9" w:rsidRDefault="005739B7" w:rsidP="005739B7">
      <w:pPr>
        <w:spacing w:after="120" w:line="240" w:lineRule="auto"/>
        <w:ind w:left="720"/>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507C1A" w:rsidRPr="00507C1A">
        <w:rPr>
          <w:rFonts w:ascii="Times New Roman" w:hAnsi="Times New Roman" w:cs="Times New Roman"/>
          <w:sz w:val="24"/>
          <w:szCs w:val="24"/>
        </w:rPr>
        <w:t>112</w:t>
      </w:r>
      <w:r w:rsidR="009A22BA">
        <w:rPr>
          <w:rFonts w:ascii="Times New Roman" w:hAnsi="Times New Roman" w:cs="Times New Roman"/>
          <w:sz w:val="24"/>
          <w:szCs w:val="24"/>
        </w:rPr>
        <w:t>,</w:t>
      </w:r>
      <w:r w:rsidR="00507C1A" w:rsidRPr="00507C1A">
        <w:rPr>
          <w:rFonts w:ascii="Times New Roman" w:hAnsi="Times New Roman" w:cs="Times New Roman"/>
          <w:sz w:val="24"/>
          <w:szCs w:val="24"/>
        </w:rPr>
        <w:t>5% of final 2020 results</w:t>
      </w:r>
      <w:r w:rsidRPr="36BE81E9">
        <w:rPr>
          <w:rFonts w:ascii="Times New Roman" w:hAnsi="Times New Roman" w:cs="Times New Roman"/>
          <w:sz w:val="24"/>
          <w:szCs w:val="24"/>
        </w:rPr>
        <w:t>) and Turkey (</w:t>
      </w:r>
      <w:r w:rsidR="00507C1A" w:rsidRPr="00507C1A">
        <w:rPr>
          <w:rFonts w:ascii="Times New Roman" w:hAnsi="Times New Roman" w:cs="Times New Roman"/>
          <w:sz w:val="24"/>
          <w:szCs w:val="24"/>
        </w:rPr>
        <w:t>112,5% of final 2020 results</w:t>
      </w:r>
      <w:r w:rsidRPr="36BE81E9">
        <w:rPr>
          <w:rFonts w:ascii="Times New Roman" w:hAnsi="Times New Roman" w:cs="Times New Roman"/>
          <w:sz w:val="24"/>
          <w:szCs w:val="24"/>
        </w:rPr>
        <w:t>)</w:t>
      </w:r>
    </w:p>
    <w:p w14:paraId="22BAA3D1" w14:textId="77777777" w:rsidR="005739B7" w:rsidRDefault="005739B7" w:rsidP="005739B7">
      <w:pPr>
        <w:spacing w:after="120" w:line="240" w:lineRule="auto"/>
        <w:rPr>
          <w:rFonts w:ascii="Times New Roman" w:hAnsi="Times New Roman" w:cs="Times New Roman"/>
          <w:i/>
          <w:iCs/>
          <w:sz w:val="24"/>
          <w:szCs w:val="24"/>
        </w:rPr>
      </w:pPr>
      <w:r>
        <w:rPr>
          <w:rFonts w:ascii="Times New Roman" w:hAnsi="Times New Roman" w:cs="Times New Roman"/>
          <w:i/>
          <w:iCs/>
          <w:sz w:val="24"/>
          <w:szCs w:val="24"/>
        </w:rPr>
        <w:t>Thematic Priority 2</w:t>
      </w:r>
      <w:r w:rsidRPr="005742F9">
        <w:rPr>
          <w:rFonts w:ascii="Times New Roman" w:hAnsi="Times New Roman" w:cs="Times New Roman"/>
          <w:i/>
          <w:iCs/>
          <w:sz w:val="24"/>
          <w:szCs w:val="24"/>
        </w:rPr>
        <w:t xml:space="preserve">: </w:t>
      </w:r>
      <w:r>
        <w:rPr>
          <w:rFonts w:ascii="Times New Roman" w:hAnsi="Times New Roman" w:cs="Times New Roman"/>
          <w:i/>
          <w:iCs/>
          <w:sz w:val="24"/>
          <w:szCs w:val="24"/>
        </w:rPr>
        <w:t>Transport, digital economy and society, energy</w:t>
      </w:r>
    </w:p>
    <w:p w14:paraId="6D2B525A" w14:textId="77777777" w:rsidR="005739B7" w:rsidRPr="00724B37" w:rsidRDefault="005739B7" w:rsidP="005739B7">
      <w:pPr>
        <w:numPr>
          <w:ilvl w:val="0"/>
          <w:numId w:val="1"/>
        </w:numPr>
        <w:spacing w:after="120" w:line="240" w:lineRule="auto"/>
        <w:jc w:val="both"/>
        <w:rPr>
          <w:rFonts w:ascii="Times New Roman" w:hAnsi="Times New Roman" w:cs="Times New Roman"/>
          <w:sz w:val="24"/>
          <w:szCs w:val="24"/>
        </w:rPr>
      </w:pPr>
      <w:r w:rsidRPr="00724B37">
        <w:rPr>
          <w:rFonts w:ascii="Times New Roman" w:hAnsi="Times New Roman" w:cs="Times New Roman"/>
          <w:sz w:val="24"/>
          <w:szCs w:val="24"/>
        </w:rPr>
        <w:t>Logistics Performance Indicator (source: World Bank):</w:t>
      </w:r>
      <w:r>
        <w:rPr>
          <w:rFonts w:ascii="Times New Roman" w:hAnsi="Times New Roman" w:cs="Times New Roman"/>
          <w:sz w:val="24"/>
          <w:szCs w:val="24"/>
        </w:rPr>
        <w:t xml:space="preserve"> </w:t>
      </w:r>
    </w:p>
    <w:p w14:paraId="32034733" w14:textId="77777777" w:rsidR="005739B7" w:rsidRPr="005742F9" w:rsidRDefault="005739B7" w:rsidP="005739B7">
      <w:pPr>
        <w:spacing w:after="120" w:line="240" w:lineRule="auto"/>
        <w:ind w:left="720"/>
        <w:contextualSpacing/>
        <w:jc w:val="both"/>
        <w:rPr>
          <w:rFonts w:ascii="Times New Roman" w:hAnsi="Times New Roman" w:cs="Times New Roman"/>
          <w:sz w:val="24"/>
          <w:szCs w:val="24"/>
        </w:rPr>
      </w:pPr>
      <w:r w:rsidRPr="005742F9">
        <w:rPr>
          <w:rFonts w:ascii="Times New Roman" w:hAnsi="Times New Roman" w:cs="Times New Roman"/>
          <w:sz w:val="24"/>
          <w:szCs w:val="24"/>
        </w:rPr>
        <w:t>Baseline (2018): Western Balkans</w:t>
      </w:r>
      <w:r w:rsidRPr="005742F9">
        <w:rPr>
          <w:rFonts w:ascii="Times New Roman" w:hAnsi="Times New Roman" w:cs="Times New Roman"/>
          <w:sz w:val="24"/>
          <w:szCs w:val="24"/>
          <w:vertAlign w:val="superscript"/>
        </w:rPr>
        <w:footnoteReference w:id="36"/>
      </w:r>
      <w:r w:rsidRPr="005742F9">
        <w:rPr>
          <w:rFonts w:ascii="Times New Roman" w:hAnsi="Times New Roman" w:cs="Times New Roman"/>
          <w:sz w:val="24"/>
          <w:szCs w:val="24"/>
          <w:vertAlign w:val="superscript"/>
        </w:rPr>
        <w:t xml:space="preserve"> </w:t>
      </w:r>
      <w:r w:rsidRPr="005742F9">
        <w:rPr>
          <w:rFonts w:ascii="Times New Roman" w:hAnsi="Times New Roman" w:cs="Times New Roman"/>
          <w:sz w:val="24"/>
          <w:szCs w:val="24"/>
        </w:rPr>
        <w:t>(2,75) and Turkey (3,15)</w:t>
      </w:r>
    </w:p>
    <w:p w14:paraId="42CF36C9" w14:textId="77777777" w:rsidR="005739B7" w:rsidRPr="005742F9" w:rsidRDefault="005739B7" w:rsidP="005739B7">
      <w:pPr>
        <w:spacing w:after="120" w:line="240" w:lineRule="auto"/>
        <w:ind w:left="720"/>
        <w:contextualSpacing/>
        <w:jc w:val="both"/>
        <w:rPr>
          <w:rFonts w:ascii="Times New Roman" w:hAnsi="Times New Roman" w:cs="Times New Roman"/>
          <w:sz w:val="24"/>
          <w:szCs w:val="24"/>
        </w:rPr>
      </w:pPr>
      <w:r w:rsidRPr="005742F9">
        <w:rPr>
          <w:rFonts w:ascii="Times New Roman" w:hAnsi="Times New Roman" w:cs="Times New Roman"/>
          <w:sz w:val="24"/>
          <w:szCs w:val="24"/>
        </w:rPr>
        <w:t>Milestone (2023): 5% increase, Western B</w:t>
      </w:r>
      <w:r>
        <w:rPr>
          <w:rFonts w:ascii="Times New Roman" w:hAnsi="Times New Roman" w:cs="Times New Roman"/>
          <w:sz w:val="24"/>
          <w:szCs w:val="24"/>
        </w:rPr>
        <w:t>alkans (2,90) and Turkey (3,30)</w:t>
      </w:r>
    </w:p>
    <w:p w14:paraId="22758CE5" w14:textId="77777777" w:rsidR="005739B7" w:rsidRDefault="005739B7" w:rsidP="005739B7">
      <w:pPr>
        <w:spacing w:after="120" w:line="240" w:lineRule="auto"/>
        <w:ind w:left="720"/>
        <w:jc w:val="both"/>
        <w:rPr>
          <w:rFonts w:ascii="Times New Roman" w:hAnsi="Times New Roman" w:cs="Times New Roman"/>
          <w:sz w:val="24"/>
          <w:szCs w:val="24"/>
        </w:rPr>
      </w:pPr>
      <w:r w:rsidRPr="005742F9">
        <w:rPr>
          <w:rFonts w:ascii="Times New Roman" w:hAnsi="Times New Roman" w:cs="Times New Roman"/>
          <w:sz w:val="24"/>
          <w:szCs w:val="24"/>
        </w:rPr>
        <w:t>Target (2027): 10% increase, Western B</w:t>
      </w:r>
      <w:r>
        <w:rPr>
          <w:rFonts w:ascii="Times New Roman" w:hAnsi="Times New Roman" w:cs="Times New Roman"/>
          <w:sz w:val="24"/>
          <w:szCs w:val="24"/>
        </w:rPr>
        <w:t>alkans (3,05) and Turkey (3,50)</w:t>
      </w:r>
    </w:p>
    <w:p w14:paraId="12AAF8CC" w14:textId="763C95EB" w:rsidR="005739B7" w:rsidRDefault="005739B7" w:rsidP="005739B7">
      <w:pPr>
        <w:numPr>
          <w:ilvl w:val="0"/>
          <w:numId w:val="1"/>
        </w:numPr>
        <w:spacing w:after="120" w:line="240" w:lineRule="auto"/>
        <w:jc w:val="both"/>
        <w:rPr>
          <w:rFonts w:ascii="Times New Roman" w:hAnsi="Times New Roman" w:cs="Times New Roman"/>
          <w:sz w:val="24"/>
          <w:szCs w:val="24"/>
        </w:rPr>
      </w:pPr>
      <w:r w:rsidRPr="00B472E7">
        <w:rPr>
          <w:rFonts w:ascii="Times New Roman" w:hAnsi="Times New Roman" w:cs="Times New Roman"/>
          <w:sz w:val="24"/>
          <w:szCs w:val="24"/>
        </w:rPr>
        <w:t xml:space="preserve"> “Digital </w:t>
      </w:r>
      <w:r w:rsidR="00D44A3C">
        <w:rPr>
          <w:rFonts w:ascii="Times New Roman" w:hAnsi="Times New Roman" w:cs="Times New Roman"/>
          <w:sz w:val="24"/>
          <w:szCs w:val="24"/>
        </w:rPr>
        <w:t>Skills</w:t>
      </w:r>
      <w:r w:rsidRPr="00B472E7">
        <w:rPr>
          <w:rFonts w:ascii="Times New Roman" w:hAnsi="Times New Roman" w:cs="Times New Roman"/>
          <w:sz w:val="24"/>
          <w:szCs w:val="24"/>
        </w:rPr>
        <w:t xml:space="preserve"> (source: </w:t>
      </w:r>
      <w:r w:rsidR="00D44A3C" w:rsidRPr="00910915">
        <w:rPr>
          <w:rFonts w:ascii="Times New Roman" w:hAnsi="Times New Roman" w:cs="Times New Roman"/>
          <w:sz w:val="24"/>
          <w:szCs w:val="24"/>
        </w:rPr>
        <w:t xml:space="preserve">Eurostat online data code: </w:t>
      </w:r>
      <w:hyperlink r:id="rId21" w:history="1">
        <w:r w:rsidR="00D44A3C" w:rsidRPr="00910915">
          <w:rPr>
            <w:rStyle w:val="Kpr"/>
            <w:rFonts w:ascii="Times New Roman" w:hAnsi="Times New Roman" w:cs="Times New Roman"/>
            <w:sz w:val="24"/>
            <w:szCs w:val="24"/>
          </w:rPr>
          <w:t>isoc_sk_dskl_i</w:t>
        </w:r>
      </w:hyperlink>
      <w:r w:rsidR="00D44A3C">
        <w:rPr>
          <w:rFonts w:ascii="Times New Roman" w:hAnsi="Times New Roman" w:cs="Times New Roman"/>
          <w:sz w:val="24"/>
          <w:szCs w:val="24"/>
        </w:rPr>
        <w:t xml:space="preserve"> and </w:t>
      </w:r>
      <w:hyperlink r:id="rId22" w:history="1">
        <w:r w:rsidR="00D44A3C" w:rsidRPr="00910915">
          <w:rPr>
            <w:rStyle w:val="Kpr"/>
            <w:rFonts w:ascii="Times New Roman" w:hAnsi="Times New Roman" w:cs="Times New Roman"/>
            <w:sz w:val="24"/>
            <w:szCs w:val="24"/>
          </w:rPr>
          <w:t>isoc_sk_cskl_i</w:t>
        </w:r>
      </w:hyperlink>
      <w:r w:rsidRPr="00B472E7">
        <w:rPr>
          <w:rFonts w:ascii="Times New Roman" w:hAnsi="Times New Roman" w:cs="Times New Roman"/>
          <w:sz w:val="24"/>
          <w:szCs w:val="24"/>
        </w:rPr>
        <w:t>)”</w:t>
      </w:r>
      <w:r w:rsidRPr="00270B55">
        <w:rPr>
          <w:rFonts w:ascii="Times New Roman" w:hAnsi="Times New Roman" w:cs="Times New Roman"/>
          <w:sz w:val="24"/>
          <w:szCs w:val="24"/>
        </w:rPr>
        <w:t xml:space="preserve"> </w:t>
      </w:r>
      <w:r w:rsidRPr="005742F9">
        <w:rPr>
          <w:rFonts w:ascii="Times New Roman" w:hAnsi="Times New Roman" w:cs="Times New Roman"/>
          <w:sz w:val="24"/>
          <w:szCs w:val="24"/>
        </w:rPr>
        <w:t xml:space="preserve">– KPI 6 of IPA III </w:t>
      </w:r>
      <w:r w:rsidR="00B446B3">
        <w:rPr>
          <w:rFonts w:ascii="Times New Roman" w:hAnsi="Times New Roman" w:cs="Times New Roman"/>
          <w:sz w:val="24"/>
          <w:szCs w:val="24"/>
        </w:rPr>
        <w:t>Regulation</w:t>
      </w:r>
      <w:r>
        <w:rPr>
          <w:rStyle w:val="DipnotBavurusu"/>
          <w:rFonts w:ascii="Times New Roman" w:hAnsi="Times New Roman" w:cs="Times New Roman"/>
          <w:sz w:val="24"/>
          <w:szCs w:val="24"/>
        </w:rPr>
        <w:footnoteReference w:id="37"/>
      </w:r>
    </w:p>
    <w:p w14:paraId="44176826" w14:textId="4F4103FA" w:rsidR="005739B7" w:rsidRPr="005742F9" w:rsidRDefault="005739B7" w:rsidP="005739B7">
      <w:pPr>
        <w:spacing w:after="120" w:line="240" w:lineRule="auto"/>
        <w:ind w:left="720"/>
        <w:contextualSpacing/>
        <w:jc w:val="both"/>
        <w:rPr>
          <w:rFonts w:ascii="Times New Roman" w:hAnsi="Times New Roman" w:cs="Times New Roman"/>
          <w:sz w:val="24"/>
          <w:szCs w:val="24"/>
        </w:rPr>
      </w:pPr>
      <w:r w:rsidRPr="005742F9">
        <w:rPr>
          <w:rFonts w:ascii="Times New Roman" w:hAnsi="Times New Roman" w:cs="Times New Roman"/>
          <w:sz w:val="24"/>
          <w:szCs w:val="24"/>
        </w:rPr>
        <w:t>Baseline (2018): Western Balkans</w:t>
      </w:r>
      <w:r w:rsidRPr="005742F9">
        <w:rPr>
          <w:rFonts w:ascii="Times New Roman" w:hAnsi="Times New Roman" w:cs="Times New Roman"/>
          <w:sz w:val="24"/>
          <w:szCs w:val="24"/>
          <w:vertAlign w:val="superscript"/>
        </w:rPr>
        <w:t xml:space="preserve"> </w:t>
      </w:r>
      <w:r w:rsidRPr="005742F9">
        <w:rPr>
          <w:rFonts w:ascii="Times New Roman" w:hAnsi="Times New Roman" w:cs="Times New Roman"/>
          <w:sz w:val="24"/>
          <w:szCs w:val="24"/>
        </w:rPr>
        <w:t>(</w:t>
      </w:r>
      <w:r w:rsidR="009A22BA">
        <w:rPr>
          <w:rFonts w:ascii="Times New Roman" w:hAnsi="Times New Roman" w:cs="Times New Roman"/>
          <w:sz w:val="24"/>
          <w:szCs w:val="24"/>
        </w:rPr>
        <w:t>21,2%</w:t>
      </w:r>
      <w:r w:rsidRPr="005742F9">
        <w:rPr>
          <w:rFonts w:ascii="Times New Roman" w:hAnsi="Times New Roman" w:cs="Times New Roman"/>
          <w:sz w:val="24"/>
          <w:szCs w:val="24"/>
        </w:rPr>
        <w:t>) and Turkey (</w:t>
      </w:r>
      <w:r w:rsidR="009A22BA">
        <w:rPr>
          <w:rFonts w:ascii="Times New Roman" w:hAnsi="Times New Roman" w:cs="Times New Roman"/>
          <w:sz w:val="24"/>
          <w:szCs w:val="24"/>
        </w:rPr>
        <w:t>12%</w:t>
      </w:r>
      <w:r w:rsidRPr="005742F9">
        <w:rPr>
          <w:rFonts w:ascii="Times New Roman" w:hAnsi="Times New Roman" w:cs="Times New Roman"/>
          <w:sz w:val="24"/>
          <w:szCs w:val="24"/>
        </w:rPr>
        <w:t>)</w:t>
      </w:r>
    </w:p>
    <w:p w14:paraId="510362EE" w14:textId="6E4FA4DE" w:rsidR="005739B7" w:rsidRPr="005742F9" w:rsidRDefault="005739B7" w:rsidP="005739B7">
      <w:pPr>
        <w:spacing w:after="120" w:line="240" w:lineRule="auto"/>
        <w:ind w:left="720"/>
        <w:contextualSpacing/>
        <w:jc w:val="both"/>
        <w:rPr>
          <w:rFonts w:ascii="Times New Roman" w:hAnsi="Times New Roman" w:cs="Times New Roman"/>
          <w:sz w:val="24"/>
          <w:szCs w:val="24"/>
        </w:rPr>
      </w:pPr>
      <w:r w:rsidRPr="005742F9">
        <w:rPr>
          <w:rFonts w:ascii="Times New Roman" w:hAnsi="Times New Roman" w:cs="Times New Roman"/>
          <w:sz w:val="24"/>
          <w:szCs w:val="24"/>
        </w:rPr>
        <w:t>Milestone (2023):</w:t>
      </w:r>
      <w:r>
        <w:rPr>
          <w:rFonts w:ascii="Times New Roman" w:hAnsi="Times New Roman" w:cs="Times New Roman"/>
          <w:sz w:val="24"/>
          <w:szCs w:val="24"/>
        </w:rPr>
        <w:t xml:space="preserve"> Western Balkans (</w:t>
      </w:r>
      <w:r w:rsidR="009A22BA">
        <w:rPr>
          <w:rFonts w:ascii="Times New Roman" w:hAnsi="Times New Roman" w:cs="Times New Roman"/>
          <w:sz w:val="24"/>
          <w:szCs w:val="24"/>
        </w:rPr>
        <w:t>Increase</w:t>
      </w:r>
      <w:r w:rsidRPr="005742F9">
        <w:rPr>
          <w:rFonts w:ascii="Times New Roman" w:hAnsi="Times New Roman" w:cs="Times New Roman"/>
          <w:sz w:val="24"/>
          <w:szCs w:val="24"/>
        </w:rPr>
        <w:t>) and Turkey (</w:t>
      </w:r>
      <w:r w:rsidR="009A22BA">
        <w:rPr>
          <w:rFonts w:ascii="Times New Roman" w:hAnsi="Times New Roman" w:cs="Times New Roman"/>
          <w:sz w:val="24"/>
          <w:szCs w:val="24"/>
        </w:rPr>
        <w:t>Increase</w:t>
      </w:r>
      <w:r>
        <w:rPr>
          <w:rFonts w:ascii="Times New Roman" w:hAnsi="Times New Roman" w:cs="Times New Roman"/>
          <w:sz w:val="24"/>
          <w:szCs w:val="24"/>
        </w:rPr>
        <w:t>)</w:t>
      </w:r>
    </w:p>
    <w:p w14:paraId="09F7183C" w14:textId="1E50EDB4" w:rsidR="005739B7" w:rsidRDefault="005739B7" w:rsidP="005739B7">
      <w:pPr>
        <w:spacing w:after="120" w:line="240" w:lineRule="auto"/>
        <w:ind w:left="720"/>
        <w:jc w:val="both"/>
        <w:rPr>
          <w:rFonts w:ascii="Times New Roman" w:hAnsi="Times New Roman" w:cs="Times New Roman"/>
          <w:sz w:val="24"/>
          <w:szCs w:val="24"/>
        </w:rPr>
      </w:pPr>
      <w:r w:rsidRPr="005742F9">
        <w:rPr>
          <w:rFonts w:ascii="Times New Roman" w:hAnsi="Times New Roman" w:cs="Times New Roman"/>
          <w:sz w:val="24"/>
          <w:szCs w:val="24"/>
        </w:rPr>
        <w:t>Target (2027):</w:t>
      </w:r>
      <w:r>
        <w:rPr>
          <w:rFonts w:ascii="Times New Roman" w:hAnsi="Times New Roman" w:cs="Times New Roman"/>
          <w:sz w:val="24"/>
          <w:szCs w:val="24"/>
        </w:rPr>
        <w:t xml:space="preserve"> Western Balkans (</w:t>
      </w:r>
      <w:r w:rsidR="009A22BA">
        <w:rPr>
          <w:rFonts w:ascii="Times New Roman" w:hAnsi="Times New Roman" w:cs="Times New Roman"/>
          <w:sz w:val="24"/>
          <w:szCs w:val="24"/>
        </w:rPr>
        <w:t>Increase</w:t>
      </w:r>
      <w:r w:rsidRPr="005742F9">
        <w:rPr>
          <w:rFonts w:ascii="Times New Roman" w:hAnsi="Times New Roman" w:cs="Times New Roman"/>
          <w:sz w:val="24"/>
          <w:szCs w:val="24"/>
        </w:rPr>
        <w:t>) and Turkey (</w:t>
      </w:r>
      <w:r w:rsidR="009A22BA">
        <w:rPr>
          <w:rFonts w:ascii="Times New Roman" w:hAnsi="Times New Roman" w:cs="Times New Roman"/>
          <w:sz w:val="24"/>
          <w:szCs w:val="24"/>
        </w:rPr>
        <w:t>Increase</w:t>
      </w:r>
      <w:r w:rsidRPr="005742F9">
        <w:rPr>
          <w:rFonts w:ascii="Times New Roman" w:hAnsi="Times New Roman" w:cs="Times New Roman"/>
          <w:sz w:val="24"/>
          <w:szCs w:val="24"/>
        </w:rPr>
        <w:t>)</w:t>
      </w:r>
    </w:p>
    <w:p w14:paraId="67696C1E" w14:textId="65C59EF6" w:rsidR="005739B7" w:rsidRPr="005742F9" w:rsidRDefault="005739B7" w:rsidP="002934F7">
      <w:pPr>
        <w:numPr>
          <w:ilvl w:val="0"/>
          <w:numId w:val="1"/>
        </w:num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Energy intensity measured in terms of energy  </w:t>
      </w:r>
      <w:r w:rsidR="002934F7">
        <w:rPr>
          <w:rFonts w:ascii="Times New Roman" w:hAnsi="Times New Roman" w:cs="Times New Roman"/>
          <w:sz w:val="24"/>
          <w:szCs w:val="24"/>
        </w:rPr>
        <w:t xml:space="preserve">per </w:t>
      </w:r>
      <w:r w:rsidRPr="005742F9">
        <w:rPr>
          <w:rFonts w:ascii="Times New Roman" w:hAnsi="Times New Roman" w:cs="Times New Roman"/>
          <w:sz w:val="24"/>
          <w:szCs w:val="24"/>
        </w:rPr>
        <w:t>GDP (source: Eurostat</w:t>
      </w:r>
      <w:r w:rsidR="002934F7">
        <w:rPr>
          <w:rFonts w:ascii="Times New Roman" w:hAnsi="Times New Roman" w:cs="Times New Roman"/>
          <w:sz w:val="24"/>
          <w:szCs w:val="24"/>
        </w:rPr>
        <w:t>,</w:t>
      </w:r>
      <w:r w:rsidR="002934F7" w:rsidRPr="002934F7">
        <w:t xml:space="preserve"> </w:t>
      </w:r>
      <w:r w:rsidR="002934F7" w:rsidRPr="002934F7">
        <w:rPr>
          <w:rFonts w:ascii="Times New Roman" w:hAnsi="Times New Roman" w:cs="Times New Roman"/>
          <w:sz w:val="24"/>
          <w:szCs w:val="24"/>
        </w:rPr>
        <w:t>online data codes: nrg_bal_s, nama_10_gdp</w:t>
      </w:r>
      <w:r w:rsidRPr="005742F9">
        <w:rPr>
          <w:rFonts w:ascii="Times New Roman" w:hAnsi="Times New Roman" w:cs="Times New Roman"/>
          <w:sz w:val="24"/>
          <w:szCs w:val="24"/>
        </w:rPr>
        <w:t xml:space="preserve">) – KPI 8 of IPA III </w:t>
      </w:r>
      <w:r w:rsidR="00B446B3">
        <w:rPr>
          <w:rFonts w:ascii="Times New Roman" w:hAnsi="Times New Roman" w:cs="Times New Roman"/>
          <w:sz w:val="24"/>
          <w:szCs w:val="24"/>
        </w:rPr>
        <w:t>Regulation</w:t>
      </w:r>
    </w:p>
    <w:p w14:paraId="5265AF30" w14:textId="41F1C699"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sidR="00D44A3C">
        <w:rPr>
          <w:rFonts w:ascii="Times New Roman" w:hAnsi="Times New Roman" w:cs="Times New Roman"/>
          <w:sz w:val="24"/>
          <w:szCs w:val="24"/>
        </w:rPr>
        <w:t>8</w:t>
      </w:r>
      <w:r w:rsidRPr="006F3F22">
        <w:rPr>
          <w:rFonts w:ascii="Times New Roman" w:hAnsi="Times New Roman" w:cs="Times New Roman"/>
          <w:sz w:val="24"/>
          <w:szCs w:val="24"/>
        </w:rPr>
        <w:t>): Western Balkans (</w:t>
      </w:r>
      <w:r w:rsidR="009A22BA">
        <w:rPr>
          <w:rFonts w:ascii="Times New Roman" w:hAnsi="Times New Roman" w:cs="Times New Roman"/>
          <w:sz w:val="24"/>
          <w:szCs w:val="24"/>
        </w:rPr>
        <w:t>38</w:t>
      </w:r>
      <w:r w:rsidR="00D44A3C">
        <w:rPr>
          <w:rFonts w:ascii="Times New Roman" w:hAnsi="Times New Roman" w:cs="Times New Roman"/>
          <w:sz w:val="24"/>
          <w:szCs w:val="24"/>
        </w:rPr>
        <w:t>5.8</w:t>
      </w:r>
      <w:r w:rsidRPr="006F3F22">
        <w:rPr>
          <w:rFonts w:ascii="Times New Roman" w:hAnsi="Times New Roman" w:cs="Times New Roman"/>
          <w:sz w:val="24"/>
          <w:szCs w:val="24"/>
        </w:rPr>
        <w:t>)</w:t>
      </w:r>
      <w:r w:rsidR="00D44A3C">
        <w:rPr>
          <w:rStyle w:val="DipnotBavurusu"/>
          <w:rFonts w:ascii="Times New Roman" w:hAnsi="Times New Roman" w:cs="Times New Roman"/>
          <w:sz w:val="24"/>
          <w:szCs w:val="24"/>
        </w:rPr>
        <w:footnoteReference w:id="38"/>
      </w:r>
      <w:r w:rsidRPr="006F3F22">
        <w:rPr>
          <w:rFonts w:ascii="Times New Roman" w:hAnsi="Times New Roman" w:cs="Times New Roman"/>
          <w:sz w:val="24"/>
          <w:szCs w:val="24"/>
        </w:rPr>
        <w:t xml:space="preserve"> and Turkey (</w:t>
      </w:r>
      <w:r w:rsidR="009A22BA">
        <w:rPr>
          <w:rFonts w:ascii="Times New Roman" w:hAnsi="Times New Roman" w:cs="Times New Roman"/>
          <w:sz w:val="24"/>
          <w:szCs w:val="24"/>
        </w:rPr>
        <w:t>1</w:t>
      </w:r>
      <w:r w:rsidR="00D44A3C">
        <w:rPr>
          <w:rFonts w:ascii="Times New Roman" w:hAnsi="Times New Roman" w:cs="Times New Roman"/>
          <w:sz w:val="24"/>
          <w:szCs w:val="24"/>
        </w:rPr>
        <w:t>67.7</w:t>
      </w:r>
      <w:r w:rsidRPr="006F3F22">
        <w:rPr>
          <w:rFonts w:ascii="Times New Roman" w:hAnsi="Times New Roman" w:cs="Times New Roman"/>
          <w:sz w:val="24"/>
          <w:szCs w:val="24"/>
        </w:rPr>
        <w:t>)</w:t>
      </w:r>
    </w:p>
    <w:p w14:paraId="21FE9AAF" w14:textId="4405404C"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w:t>
      </w:r>
      <w:r>
        <w:rPr>
          <w:rFonts w:ascii="Times New Roman" w:hAnsi="Times New Roman" w:cs="Times New Roman"/>
          <w:sz w:val="24"/>
          <w:szCs w:val="24"/>
        </w:rPr>
        <w:t>tern Balkans (</w:t>
      </w:r>
      <w:r w:rsidR="00D44A3C">
        <w:rPr>
          <w:rFonts w:ascii="Times New Roman" w:hAnsi="Times New Roman" w:cs="Times New Roman"/>
          <w:sz w:val="24"/>
          <w:szCs w:val="24"/>
        </w:rPr>
        <w:t>Decrease</w:t>
      </w:r>
      <w:r>
        <w:rPr>
          <w:rFonts w:ascii="Times New Roman" w:hAnsi="Times New Roman" w:cs="Times New Roman"/>
          <w:sz w:val="24"/>
          <w:szCs w:val="24"/>
        </w:rPr>
        <w:t>) and Turkey (</w:t>
      </w:r>
      <w:r w:rsidR="00D44A3C">
        <w:rPr>
          <w:rFonts w:ascii="Times New Roman" w:hAnsi="Times New Roman" w:cs="Times New Roman"/>
          <w:sz w:val="24"/>
          <w:szCs w:val="24"/>
        </w:rPr>
        <w:t>De</w:t>
      </w:r>
      <w:r w:rsidR="009A22BA">
        <w:rPr>
          <w:rFonts w:ascii="Times New Roman" w:hAnsi="Times New Roman" w:cs="Times New Roman"/>
          <w:sz w:val="24"/>
          <w:szCs w:val="24"/>
        </w:rPr>
        <w:t>crease</w:t>
      </w:r>
      <w:r>
        <w:rPr>
          <w:rFonts w:ascii="Times New Roman" w:hAnsi="Times New Roman" w:cs="Times New Roman"/>
          <w:sz w:val="24"/>
          <w:szCs w:val="24"/>
        </w:rPr>
        <w:t>)</w:t>
      </w:r>
    </w:p>
    <w:p w14:paraId="3F80E1AC" w14:textId="15B266EF" w:rsidR="005739B7" w:rsidRPr="003E32BA" w:rsidRDefault="005739B7" w:rsidP="005739B7">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D44A3C">
        <w:rPr>
          <w:rFonts w:ascii="Times New Roman" w:hAnsi="Times New Roman" w:cs="Times New Roman"/>
          <w:sz w:val="24"/>
          <w:szCs w:val="24"/>
        </w:rPr>
        <w:t>De</w:t>
      </w:r>
      <w:r w:rsidR="009A22BA">
        <w:rPr>
          <w:rFonts w:ascii="Times New Roman" w:hAnsi="Times New Roman" w:cs="Times New Roman"/>
          <w:sz w:val="24"/>
          <w:szCs w:val="24"/>
        </w:rPr>
        <w:t>crease</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00D44A3C">
        <w:rPr>
          <w:rFonts w:ascii="Times New Roman" w:hAnsi="Times New Roman" w:cs="Times New Roman"/>
          <w:sz w:val="24"/>
          <w:szCs w:val="24"/>
        </w:rPr>
        <w:t>De</w:t>
      </w:r>
      <w:r w:rsidR="009A22BA">
        <w:rPr>
          <w:rFonts w:ascii="Times New Roman" w:hAnsi="Times New Roman" w:cs="Times New Roman"/>
          <w:sz w:val="24"/>
          <w:szCs w:val="24"/>
        </w:rPr>
        <w:t>crease</w:t>
      </w:r>
      <w:r>
        <w:rPr>
          <w:rFonts w:ascii="Times New Roman" w:eastAsia="Times New Roman" w:hAnsi="Times New Roman" w:cs="Times New Roman"/>
          <w:iCs/>
          <w:sz w:val="24"/>
          <w:szCs w:val="24"/>
        </w:rPr>
        <w:t>)</w:t>
      </w:r>
    </w:p>
    <w:p w14:paraId="1603C142" w14:textId="51CB5164" w:rsidR="005739B7" w:rsidRPr="005742F9" w:rsidRDefault="005739B7" w:rsidP="005739B7">
      <w:pPr>
        <w:numPr>
          <w:ilvl w:val="0"/>
          <w:numId w:val="1"/>
        </w:numPr>
        <w:spacing w:after="120" w:line="240" w:lineRule="auto"/>
        <w:ind w:left="714" w:hanging="357"/>
        <w:jc w:val="both"/>
        <w:rPr>
          <w:rFonts w:ascii="Times New Roman" w:hAnsi="Times New Roman" w:cs="Times New Roman"/>
          <w:sz w:val="24"/>
          <w:szCs w:val="24"/>
        </w:rPr>
      </w:pPr>
      <w:r w:rsidRPr="005742F9">
        <w:rPr>
          <w:rFonts w:ascii="Times New Roman" w:hAnsi="Times New Roman" w:cs="Times New Roman"/>
          <w:sz w:val="24"/>
          <w:szCs w:val="24"/>
        </w:rPr>
        <w:t>Share of Renewable Energy in the</w:t>
      </w:r>
      <w:r w:rsidR="00D44A3C">
        <w:rPr>
          <w:rFonts w:ascii="Times New Roman" w:hAnsi="Times New Roman" w:cs="Times New Roman"/>
          <w:sz w:val="24"/>
          <w:szCs w:val="24"/>
        </w:rPr>
        <w:t xml:space="preserve"> gross</w:t>
      </w:r>
      <w:r w:rsidRPr="005742F9">
        <w:rPr>
          <w:rFonts w:ascii="Times New Roman" w:hAnsi="Times New Roman" w:cs="Times New Roman"/>
          <w:sz w:val="24"/>
          <w:szCs w:val="24"/>
        </w:rPr>
        <w:t xml:space="preserve"> final energy c</w:t>
      </w:r>
      <w:r>
        <w:rPr>
          <w:rFonts w:ascii="Times New Roman" w:hAnsi="Times New Roman" w:cs="Times New Roman"/>
          <w:sz w:val="24"/>
          <w:szCs w:val="24"/>
        </w:rPr>
        <w:t>onsumption (source: Eurostat</w:t>
      </w:r>
      <w:r w:rsidR="002934F7">
        <w:rPr>
          <w:rFonts w:ascii="Times New Roman" w:hAnsi="Times New Roman" w:cs="Times New Roman"/>
          <w:sz w:val="24"/>
          <w:szCs w:val="24"/>
        </w:rPr>
        <w:t>, online data from the SHARES tool</w:t>
      </w:r>
      <w:r>
        <w:rPr>
          <w:rFonts w:ascii="Times New Roman" w:hAnsi="Times New Roman" w:cs="Times New Roman"/>
          <w:sz w:val="24"/>
          <w:szCs w:val="24"/>
        </w:rPr>
        <w:t xml:space="preserve">) – SDG indicator 7.2.1 </w:t>
      </w:r>
    </w:p>
    <w:p w14:paraId="2919B5F4" w14:textId="3F3130F7"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(2017): Western Balkans (</w:t>
      </w:r>
      <w:r w:rsidR="009A22BA" w:rsidRPr="009A22BA">
        <w:rPr>
          <w:rFonts w:ascii="Times New Roman" w:hAnsi="Times New Roman" w:cs="Times New Roman"/>
          <w:sz w:val="24"/>
          <w:szCs w:val="24"/>
        </w:rPr>
        <w:t>29,26%</w:t>
      </w:r>
      <w:r w:rsidRPr="006F3F22">
        <w:rPr>
          <w:rFonts w:ascii="Times New Roman" w:hAnsi="Times New Roman" w:cs="Times New Roman"/>
          <w:sz w:val="24"/>
          <w:szCs w:val="24"/>
        </w:rPr>
        <w:t>) and Turkey (</w:t>
      </w:r>
      <w:r w:rsidR="009A22BA" w:rsidRPr="009A22BA">
        <w:rPr>
          <w:rFonts w:ascii="Times New Roman" w:hAnsi="Times New Roman" w:cs="Times New Roman"/>
          <w:sz w:val="24"/>
          <w:szCs w:val="24"/>
        </w:rPr>
        <w:t>43,9%</w:t>
      </w:r>
      <w:r w:rsidRPr="006F3F22">
        <w:rPr>
          <w:rFonts w:ascii="Times New Roman" w:hAnsi="Times New Roman" w:cs="Times New Roman"/>
          <w:sz w:val="24"/>
          <w:szCs w:val="24"/>
        </w:rPr>
        <w:t>)</w:t>
      </w:r>
    </w:p>
    <w:p w14:paraId="5A66153A" w14:textId="2172F34C"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w:t>
      </w:r>
      <w:r>
        <w:rPr>
          <w:rFonts w:ascii="Times New Roman" w:hAnsi="Times New Roman" w:cs="Times New Roman"/>
          <w:sz w:val="24"/>
          <w:szCs w:val="24"/>
        </w:rPr>
        <w:t>tern Balkans (</w:t>
      </w:r>
      <w:r w:rsidR="009A22BA">
        <w:rPr>
          <w:rFonts w:ascii="Times New Roman" w:hAnsi="Times New Roman" w:cs="Times New Roman"/>
          <w:sz w:val="24"/>
          <w:szCs w:val="24"/>
        </w:rPr>
        <w:t>Increase</w:t>
      </w:r>
      <w:r>
        <w:rPr>
          <w:rFonts w:ascii="Times New Roman" w:hAnsi="Times New Roman" w:cs="Times New Roman"/>
          <w:sz w:val="24"/>
          <w:szCs w:val="24"/>
        </w:rPr>
        <w:t>) and Turkey (</w:t>
      </w:r>
      <w:r w:rsidR="009A22BA">
        <w:rPr>
          <w:rFonts w:ascii="Times New Roman" w:hAnsi="Times New Roman" w:cs="Times New Roman"/>
          <w:sz w:val="24"/>
          <w:szCs w:val="24"/>
        </w:rPr>
        <w:t>Increase</w:t>
      </w:r>
      <w:r>
        <w:rPr>
          <w:rFonts w:ascii="Times New Roman" w:hAnsi="Times New Roman" w:cs="Times New Roman"/>
          <w:sz w:val="24"/>
          <w:szCs w:val="24"/>
        </w:rPr>
        <w:t>)</w:t>
      </w:r>
    </w:p>
    <w:p w14:paraId="194925C5" w14:textId="77157ECE" w:rsidR="005739B7" w:rsidRDefault="005739B7" w:rsidP="005739B7">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9A22BA">
        <w:rPr>
          <w:rFonts w:ascii="Times New Roman" w:hAnsi="Times New Roman" w:cs="Times New Roman"/>
          <w:sz w:val="24"/>
          <w:szCs w:val="24"/>
        </w:rPr>
        <w:t>Increase</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009A22BA">
        <w:rPr>
          <w:rFonts w:ascii="Times New Roman" w:hAnsi="Times New Roman" w:cs="Times New Roman"/>
          <w:sz w:val="24"/>
          <w:szCs w:val="24"/>
        </w:rPr>
        <w:t>Increase</w:t>
      </w:r>
      <w:r>
        <w:rPr>
          <w:rFonts w:ascii="Times New Roman" w:eastAsia="Times New Roman" w:hAnsi="Times New Roman" w:cs="Times New Roman"/>
          <w:iCs/>
          <w:sz w:val="24"/>
          <w:szCs w:val="24"/>
        </w:rPr>
        <w:t>)</w:t>
      </w:r>
    </w:p>
    <w:p w14:paraId="263AA5EC" w14:textId="77777777" w:rsidR="005739B7" w:rsidRPr="006B0053" w:rsidRDefault="005739B7" w:rsidP="005739B7">
      <w:pPr>
        <w:spacing w:after="120" w:line="240" w:lineRule="auto"/>
        <w:contextualSpacing/>
        <w:jc w:val="both"/>
        <w:rPr>
          <w:rFonts w:ascii="Times New Roman" w:hAnsi="Times New Roman" w:cs="Times New Roman"/>
          <w:i/>
          <w:sz w:val="24"/>
          <w:szCs w:val="24"/>
        </w:rPr>
      </w:pPr>
    </w:p>
    <w:p w14:paraId="32FC20C8" w14:textId="77777777" w:rsidR="005739B7" w:rsidRPr="005742F9" w:rsidRDefault="005739B7" w:rsidP="005739B7">
      <w:pPr>
        <w:numPr>
          <w:ilvl w:val="0"/>
          <w:numId w:val="11"/>
        </w:numPr>
        <w:spacing w:after="120" w:line="240" w:lineRule="auto"/>
        <w:ind w:left="426" w:hanging="426"/>
        <w:rPr>
          <w:rFonts w:ascii="Times New Roman" w:hAnsi="Times New Roman" w:cs="Times New Roman"/>
          <w:b/>
          <w:bCs/>
          <w:sz w:val="24"/>
          <w:szCs w:val="24"/>
        </w:rPr>
      </w:pPr>
      <w:r w:rsidRPr="005742F9">
        <w:rPr>
          <w:rFonts w:ascii="Times New Roman" w:hAnsi="Times New Roman" w:cs="Times New Roman"/>
          <w:b/>
          <w:bCs/>
          <w:sz w:val="24"/>
          <w:szCs w:val="24"/>
        </w:rPr>
        <w:t>Assumptions &amp; Risks</w:t>
      </w:r>
    </w:p>
    <w:p w14:paraId="0D826E87" w14:textId="77777777" w:rsidR="005739B7" w:rsidRPr="00C03C2F" w:rsidRDefault="005739B7" w:rsidP="005739B7">
      <w:pPr>
        <w:spacing w:after="120" w:line="240" w:lineRule="auto"/>
        <w:jc w:val="both"/>
        <w:rPr>
          <w:rFonts w:ascii="Times New Roman" w:hAnsi="Times New Roman" w:cs="Times New Roman"/>
          <w:i/>
          <w:iCs/>
          <w:sz w:val="24"/>
          <w:szCs w:val="24"/>
          <w:u w:val="single"/>
        </w:rPr>
      </w:pPr>
      <w:r w:rsidRPr="005742F9">
        <w:rPr>
          <w:rFonts w:ascii="Times New Roman" w:hAnsi="Times New Roman" w:cs="Times New Roman"/>
          <w:i/>
          <w:iCs/>
          <w:sz w:val="24"/>
          <w:szCs w:val="24"/>
          <w:u w:val="single"/>
        </w:rPr>
        <w:t>Assumptions</w:t>
      </w:r>
    </w:p>
    <w:p w14:paraId="5FD6EAA9"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There is a continuous commitment, steered and coordinated at the highest level of the government, to address the key priorities under this Window.</w:t>
      </w:r>
      <w:r>
        <w:rPr>
          <w:rFonts w:ascii="Times New Roman" w:eastAsia="Calibri" w:hAnsi="Times New Roman" w:cs="Times New Roman"/>
          <w:sz w:val="24"/>
          <w:szCs w:val="24"/>
        </w:rPr>
        <w:t xml:space="preserve"> </w:t>
      </w:r>
    </w:p>
    <w:p w14:paraId="52F54962"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 xml:space="preserve">IPA III beneficiaries are committed to upgrading their strategies and sectoral approaches in line with relevant assessments, including peer reviews. </w:t>
      </w:r>
    </w:p>
    <w:p w14:paraId="270D1556"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The necessary domestic financial and administrative resources are effectively and efficiently mobilised</w:t>
      </w:r>
    </w:p>
    <w:p w14:paraId="3BF84AD3" w14:textId="77777777" w:rsidR="005739B7" w:rsidRPr="00C03C2F" w:rsidRDefault="005739B7" w:rsidP="005739B7">
      <w:pPr>
        <w:spacing w:after="120" w:line="240" w:lineRule="auto"/>
        <w:jc w:val="both"/>
        <w:rPr>
          <w:rFonts w:ascii="Times New Roman" w:hAnsi="Times New Roman" w:cs="Times New Roman"/>
          <w:i/>
          <w:iCs/>
          <w:sz w:val="24"/>
          <w:szCs w:val="24"/>
          <w:u w:val="single"/>
        </w:rPr>
      </w:pPr>
      <w:r w:rsidRPr="005742F9">
        <w:rPr>
          <w:rFonts w:ascii="Times New Roman" w:hAnsi="Times New Roman" w:cs="Times New Roman"/>
          <w:i/>
          <w:iCs/>
          <w:sz w:val="24"/>
          <w:szCs w:val="24"/>
          <w:u w:val="single"/>
        </w:rPr>
        <w:t>Risks</w:t>
      </w:r>
    </w:p>
    <w:p w14:paraId="3F5B5E8A"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From an institutional viewpoint there are risks related to variable capacities and high staff turnover in the public administration and more specifically in the operating structures and agencies set up to manage IPA III funds under the indirect implementation method, including all beneficiary institutions. </w:t>
      </w:r>
    </w:p>
    <w:p w14:paraId="2F469E77"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In the environment and climate change area, there is a risk that the political commitments taken to reduce carbon emission and improve the environment remain declarative and are not followed by decisive course of actions. Given the high number of social and economic sectors that play an important role in environment and more broadly in addressing climate action, effective policy coordination and implementation must be backed-up by a strong institutional cooperation and with a full involvement of stakeholders.</w:t>
      </w:r>
    </w:p>
    <w:p w14:paraId="4339F5E6" w14:textId="77777777" w:rsidR="005739B7"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Infrastructure investments will yield the expected social and economic benefits if they are properly prepared in terms of both sound technical, environmental and financial studies and impact assessments and if they are free from possible disputes arising from land expropriation, and building permits. In addition, there is the risk that not enough national resources will be allocated for operation and maintenance costs of the IPA-funded investments (such as infrastructure, IT systems, equipment, etc.), jeopardising their proper utilisation and sustainability. Finally, there are also risks of delaying implementation and completion of environmental infrastructure notably due to late introduction of charges for the use of these infrastructures. In addition, transboundary projects and initiatives might not progress as expected due to lack of political commitment and dialogue</w:t>
      </w:r>
    </w:p>
    <w:p w14:paraId="219B5B03" w14:textId="77777777" w:rsidR="005739B7" w:rsidRDefault="005739B7" w:rsidP="005739B7">
      <w:pPr>
        <w:spacing w:after="120" w:line="240" w:lineRule="auto"/>
        <w:jc w:val="both"/>
        <w:rPr>
          <w:rFonts w:ascii="Times New Roman" w:hAnsi="Times New Roman" w:cs="Times New Roman"/>
          <w:sz w:val="24"/>
          <w:szCs w:val="24"/>
        </w:rPr>
      </w:pPr>
    </w:p>
    <w:p w14:paraId="5FFF4F7D" w14:textId="77777777" w:rsidR="005739B7" w:rsidRDefault="005739B7" w:rsidP="005739B7">
      <w:pPr>
        <w:spacing w:after="120" w:line="240" w:lineRule="auto"/>
        <w:jc w:val="both"/>
        <w:rPr>
          <w:rFonts w:ascii="Times New Roman" w:hAnsi="Times New Roman" w:cs="Times New Roman"/>
          <w:sz w:val="24"/>
          <w:szCs w:val="24"/>
        </w:rPr>
        <w:sectPr w:rsidR="005739B7" w:rsidSect="000E3175">
          <w:pgSz w:w="11906" w:h="16838"/>
          <w:pgMar w:top="1417" w:right="1417" w:bottom="1417" w:left="1417" w:header="708" w:footer="708" w:gutter="0"/>
          <w:cols w:space="708"/>
          <w:docGrid w:linePitch="360"/>
        </w:sectPr>
      </w:pPr>
    </w:p>
    <w:p w14:paraId="60996099" w14:textId="77777777" w:rsidR="005739B7" w:rsidRPr="005742F9" w:rsidRDefault="005739B7" w:rsidP="005739B7">
      <w:pPr>
        <w:spacing w:after="120" w:line="240" w:lineRule="auto"/>
        <w:jc w:val="both"/>
        <w:rPr>
          <w:rFonts w:ascii="Times New Roman" w:hAnsi="Times New Roman" w:cs="Times New Roman"/>
          <w:b/>
          <w:bCs/>
          <w:sz w:val="24"/>
          <w:szCs w:val="24"/>
        </w:rPr>
      </w:pPr>
    </w:p>
    <w:p w14:paraId="771BC6E3" w14:textId="77777777" w:rsidR="005739B7" w:rsidRPr="005742F9" w:rsidRDefault="005739B7" w:rsidP="005739B7">
      <w:pPr>
        <w:spacing w:after="120"/>
        <w:jc w:val="both"/>
        <w:rPr>
          <w:rFonts w:ascii="Times New Roman" w:hAnsi="Times New Roman"/>
          <w:sz w:val="24"/>
          <w:szCs w:val="24"/>
        </w:rPr>
        <w:sectPr w:rsidR="005739B7" w:rsidRPr="005742F9" w:rsidSect="000E3175">
          <w:pgSz w:w="11906" w:h="16838"/>
          <w:pgMar w:top="1417" w:right="1417" w:bottom="1417" w:left="1417" w:header="708" w:footer="708" w:gutter="0"/>
          <w:cols w:space="708"/>
          <w:docGrid w:linePitch="360"/>
        </w:sectPr>
      </w:pPr>
    </w:p>
    <w:p w14:paraId="7FA9F596" w14:textId="77777777" w:rsidR="005739B7" w:rsidRPr="00173A5B" w:rsidRDefault="005739B7" w:rsidP="005739B7">
      <w:pPr>
        <w:pBdr>
          <w:top w:val="single" w:sz="4" w:space="1" w:color="auto"/>
          <w:left w:val="single" w:sz="4" w:space="1" w:color="auto"/>
          <w:bottom w:val="single" w:sz="4" w:space="1" w:color="auto"/>
          <w:right w:val="single" w:sz="4" w:space="1" w:color="auto"/>
        </w:pBdr>
        <w:spacing w:after="0"/>
        <w:jc w:val="center"/>
        <w:rPr>
          <w:rFonts w:ascii="Times New Roman" w:hAnsi="Times New Roman" w:cs="Times New Roman"/>
          <w:b/>
          <w:bCs/>
          <w:color w:val="000000" w:themeColor="text1"/>
          <w:sz w:val="24"/>
          <w:szCs w:val="28"/>
        </w:rPr>
      </w:pPr>
    </w:p>
    <w:p w14:paraId="363F76E6" w14:textId="77777777" w:rsidR="005739B7" w:rsidRPr="00173A5B" w:rsidRDefault="005739B7" w:rsidP="005739B7">
      <w:pPr>
        <w:pStyle w:val="Balk1"/>
        <w:pBdr>
          <w:top w:val="single" w:sz="4" w:space="1" w:color="auto"/>
          <w:left w:val="single" w:sz="4" w:space="1" w:color="auto"/>
          <w:bottom w:val="single" w:sz="4" w:space="1" w:color="auto"/>
          <w:right w:val="single" w:sz="4" w:space="1" w:color="auto"/>
        </w:pBdr>
        <w:spacing w:before="0"/>
        <w:jc w:val="center"/>
        <w:rPr>
          <w:rFonts w:ascii="Times New Roman" w:hAnsi="Times New Roman" w:cs="Times New Roman"/>
          <w:b/>
          <w:color w:val="000000" w:themeColor="text1"/>
        </w:rPr>
      </w:pPr>
      <w:bookmarkStart w:id="21" w:name="_Toc46402482"/>
      <w:bookmarkStart w:id="22" w:name="_Toc46402557"/>
      <w:bookmarkStart w:id="23" w:name="_Toc46480671"/>
      <w:bookmarkStart w:id="24" w:name="_Toc55992238"/>
      <w:bookmarkStart w:id="25" w:name="_Toc56584495"/>
      <w:r w:rsidRPr="00173A5B">
        <w:rPr>
          <w:rFonts w:ascii="Times New Roman" w:hAnsi="Times New Roman" w:cs="Times New Roman"/>
          <w:b/>
          <w:color w:val="000000" w:themeColor="text1"/>
        </w:rPr>
        <w:t>WINDOW 4 – COMPETITIVENESS AND INCLUSIVE GROWTH</w:t>
      </w:r>
      <w:bookmarkEnd w:id="21"/>
      <w:bookmarkEnd w:id="22"/>
      <w:bookmarkEnd w:id="23"/>
      <w:bookmarkEnd w:id="24"/>
      <w:bookmarkEnd w:id="25"/>
    </w:p>
    <w:p w14:paraId="3BC135B0" w14:textId="77777777" w:rsidR="005739B7" w:rsidRPr="00173A5B" w:rsidRDefault="005739B7" w:rsidP="005739B7">
      <w:pPr>
        <w:pBdr>
          <w:top w:val="single" w:sz="4" w:space="1" w:color="auto"/>
          <w:left w:val="single" w:sz="4" w:space="1" w:color="auto"/>
          <w:bottom w:val="single" w:sz="4" w:space="1" w:color="auto"/>
          <w:right w:val="single" w:sz="4" w:space="1" w:color="auto"/>
        </w:pBdr>
        <w:spacing w:after="0"/>
        <w:jc w:val="center"/>
        <w:rPr>
          <w:rFonts w:ascii="Times New Roman" w:hAnsi="Times New Roman" w:cs="Times New Roman"/>
          <w:b/>
          <w:bCs/>
          <w:color w:val="000000" w:themeColor="text1"/>
          <w:sz w:val="24"/>
          <w:szCs w:val="28"/>
        </w:rPr>
      </w:pPr>
    </w:p>
    <w:p w14:paraId="7E357C7F" w14:textId="77777777" w:rsidR="005739B7" w:rsidRPr="005742F9" w:rsidRDefault="005739B7" w:rsidP="005739B7">
      <w:pPr>
        <w:spacing w:after="0"/>
        <w:ind w:left="720"/>
        <w:rPr>
          <w:rFonts w:ascii="Times New Roman" w:hAnsi="Times New Roman" w:cs="Times New Roman"/>
          <w:b/>
          <w:bCs/>
        </w:rPr>
      </w:pPr>
    </w:p>
    <w:p w14:paraId="64F612FD" w14:textId="77777777" w:rsidR="005739B7" w:rsidRDefault="005739B7" w:rsidP="005739B7">
      <w:pPr>
        <w:spacing w:after="0"/>
        <w:ind w:left="720"/>
        <w:rPr>
          <w:rFonts w:ascii="Times New Roman" w:hAnsi="Times New Roman" w:cs="Times New Roman"/>
          <w:b/>
          <w:bCs/>
        </w:rPr>
      </w:pPr>
    </w:p>
    <w:p w14:paraId="4F4361AE" w14:textId="77777777" w:rsidR="005739B7" w:rsidRPr="005742F9" w:rsidRDefault="005739B7" w:rsidP="005739B7">
      <w:pPr>
        <w:spacing w:after="0"/>
        <w:ind w:left="720"/>
        <w:rPr>
          <w:rFonts w:ascii="Times New Roman" w:hAnsi="Times New Roman" w:cs="Times New Roman"/>
          <w:b/>
          <w:bCs/>
        </w:rPr>
      </w:pPr>
    </w:p>
    <w:p w14:paraId="67072E05" w14:textId="77777777" w:rsidR="005739B7" w:rsidRPr="005742F9" w:rsidRDefault="005739B7" w:rsidP="005739B7">
      <w:pPr>
        <w:numPr>
          <w:ilvl w:val="0"/>
          <w:numId w:val="15"/>
        </w:numPr>
        <w:spacing w:after="120" w:line="240" w:lineRule="auto"/>
        <w:rPr>
          <w:rFonts w:ascii="Times New Roman" w:hAnsi="Times New Roman" w:cs="Times New Roman"/>
          <w:b/>
          <w:bCs/>
        </w:rPr>
      </w:pPr>
      <w:r w:rsidRPr="00F83B78">
        <w:rPr>
          <w:rFonts w:ascii="Times New Roman" w:hAnsi="Times New Roman" w:cs="Times New Roman"/>
          <w:b/>
          <w:bCs/>
        </w:rPr>
        <w:t>Context Analysis</w:t>
      </w:r>
    </w:p>
    <w:p w14:paraId="197D5F8B"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Fulfilment of the economic criteria is a key requirement for EU membership, as set out in the Copenhagen criteria. It implies a functioning market economy is in place that has the capacity to withstand competitive pressure inside the EU single market. Despite some acceleration of growth, advances in job creation and increases in income in recent years, the Western Balkans and Turkey are still lagging behind in reforming their economic structures and improving competitiveness. They face high unemployment rates and low labour market participation, in particular among women and youth, as well as low levels of human development, increasing inequalities and demographic challenges, including low birth rates and brain drain. Beneficiaries also suffer from large skills mismatches, persistent informal economy, unfriendly business environments, and low levels of innovation. </w:t>
      </w:r>
    </w:p>
    <w:p w14:paraId="79C71648" w14:textId="77777777" w:rsidR="005739B7" w:rsidRDefault="005739B7" w:rsidP="005739B7">
      <w:p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 xml:space="preserve">The fundamentals first approach to EU enlargement encourages aspiring members to tackle economic fundamentals first: macroeconomic stability, high quality of economic governance, a welcoming business environment, including support to private sector development, as well as proper functioning of labour, financial and goods and services markets. In addition, beneficiaries should aim at ensuring sufficient amount of human capital, inclusive and good quality of education, research, innovation, infrastructure, changes in the sector and enterprise structure in the economy as well economic integration with the EU. </w:t>
      </w:r>
    </w:p>
    <w:p w14:paraId="65AED099" w14:textId="77777777" w:rsidR="005739B7" w:rsidRDefault="005739B7" w:rsidP="005739B7">
      <w:pPr>
        <w:pStyle w:val="AklamaMetni"/>
        <w:jc w:val="both"/>
        <w:rPr>
          <w:rFonts w:ascii="Times New Roman" w:eastAsia="Calibri" w:hAnsi="Times New Roman" w:cs="Times New Roman"/>
          <w:sz w:val="24"/>
          <w:szCs w:val="24"/>
        </w:rPr>
      </w:pPr>
      <w:r w:rsidRPr="0013304B">
        <w:rPr>
          <w:rFonts w:ascii="Times New Roman" w:eastAsia="Calibri" w:hAnsi="Times New Roman" w:cs="Times New Roman"/>
          <w:sz w:val="24"/>
          <w:szCs w:val="24"/>
        </w:rPr>
        <w:t xml:space="preserve">As outlined in the European Commission priorities, green transition, digital transformation and an economy that works for people are crucial for relaunching and modernising the economies of the </w:t>
      </w:r>
      <w:r>
        <w:rPr>
          <w:rFonts w:ascii="Times New Roman" w:eastAsia="Calibri" w:hAnsi="Times New Roman" w:cs="Times New Roman"/>
          <w:sz w:val="24"/>
          <w:szCs w:val="24"/>
        </w:rPr>
        <w:t>IPA III beneficiaries</w:t>
      </w:r>
      <w:r w:rsidRPr="0013304B">
        <w:rPr>
          <w:rFonts w:ascii="Times New Roman" w:eastAsia="Calibri" w:hAnsi="Times New Roman" w:cs="Times New Roman"/>
          <w:sz w:val="24"/>
          <w:szCs w:val="24"/>
        </w:rPr>
        <w:t xml:space="preserve">, helping to create jobs and growth, addressing the long-standing challenges faced by young people in the region such as limited job prospects, </w:t>
      </w:r>
      <w:r>
        <w:rPr>
          <w:rFonts w:ascii="Times New Roman" w:eastAsia="Calibri" w:hAnsi="Times New Roman" w:cs="Times New Roman"/>
          <w:sz w:val="24"/>
          <w:szCs w:val="24"/>
        </w:rPr>
        <w:t xml:space="preserve">skills upgrades </w:t>
      </w:r>
      <w:r w:rsidRPr="0013304B">
        <w:rPr>
          <w:rFonts w:ascii="Times New Roman" w:eastAsia="Calibri" w:hAnsi="Times New Roman" w:cs="Times New Roman"/>
          <w:sz w:val="24"/>
          <w:szCs w:val="24"/>
        </w:rPr>
        <w:t>and inequality. Research, innovation, education and culture are essential drivers in this process - underpinned by evidence-based policymaking.</w:t>
      </w:r>
      <w:r>
        <w:rPr>
          <w:rFonts w:ascii="Times New Roman" w:eastAsia="Calibri" w:hAnsi="Times New Roman" w:cs="Times New Roman"/>
          <w:sz w:val="24"/>
          <w:szCs w:val="24"/>
        </w:rPr>
        <w:t xml:space="preserve"> </w:t>
      </w:r>
    </w:p>
    <w:p w14:paraId="7E8574F0" w14:textId="7823960B" w:rsidR="005739B7" w:rsidRDefault="005739B7" w:rsidP="005739B7">
      <w:pPr>
        <w:pStyle w:val="AklamaMetni"/>
        <w:jc w:val="both"/>
        <w:rPr>
          <w:rFonts w:ascii="Times New Roman" w:eastAsia="Calibri" w:hAnsi="Times New Roman" w:cs="Times New Roman"/>
          <w:sz w:val="24"/>
          <w:szCs w:val="24"/>
        </w:rPr>
      </w:pPr>
      <w:r>
        <w:rPr>
          <w:rFonts w:ascii="Times New Roman" w:eastAsia="Calibri" w:hAnsi="Times New Roman" w:cs="Times New Roman"/>
          <w:sz w:val="24"/>
          <w:szCs w:val="24"/>
        </w:rPr>
        <w:t>In the context of the Economic and Investment Plan, t</w:t>
      </w:r>
      <w:r w:rsidRPr="006677B1">
        <w:rPr>
          <w:rFonts w:ascii="Times New Roman" w:eastAsia="Calibri" w:hAnsi="Times New Roman" w:cs="Times New Roman"/>
          <w:sz w:val="24"/>
          <w:szCs w:val="24"/>
        </w:rPr>
        <w:t>he Western Balkans Agenda on Innovation, Research, Education, Culture, Youth and Sport</w:t>
      </w:r>
      <w:r w:rsidR="00116163">
        <w:rPr>
          <w:rStyle w:val="DipnotBavurusu"/>
          <w:rFonts w:ascii="Times New Roman" w:eastAsia="Calibri" w:hAnsi="Times New Roman" w:cs="Times New Roman"/>
          <w:sz w:val="24"/>
          <w:szCs w:val="24"/>
        </w:rPr>
        <w:footnoteReference w:id="39"/>
      </w:r>
      <w:r w:rsidRPr="006677B1">
        <w:rPr>
          <w:rFonts w:ascii="Times New Roman" w:eastAsia="Calibri" w:hAnsi="Times New Roman" w:cs="Times New Roman"/>
          <w:sz w:val="24"/>
          <w:szCs w:val="24"/>
        </w:rPr>
        <w:t xml:space="preserve"> outlines a comprehensive, long-term strategy for cooperation with the Western Balkans</w:t>
      </w:r>
      <w:r>
        <w:rPr>
          <w:rFonts w:ascii="Times New Roman" w:eastAsia="Calibri" w:hAnsi="Times New Roman" w:cs="Times New Roman"/>
          <w:sz w:val="24"/>
          <w:szCs w:val="24"/>
        </w:rPr>
        <w:t xml:space="preserve"> in these areas</w:t>
      </w:r>
      <w:r w:rsidRPr="006677B1">
        <w:rPr>
          <w:rFonts w:ascii="Times New Roman" w:eastAsia="Calibri" w:hAnsi="Times New Roman" w:cs="Times New Roman"/>
          <w:sz w:val="24"/>
          <w:szCs w:val="24"/>
        </w:rPr>
        <w:t>.</w:t>
      </w:r>
      <w:r>
        <w:rPr>
          <w:rFonts w:ascii="Times New Roman" w:eastAsia="Calibri" w:hAnsi="Times New Roman" w:cs="Times New Roman"/>
          <w:sz w:val="24"/>
          <w:szCs w:val="24"/>
        </w:rPr>
        <w:t xml:space="preserve"> This includes supporting also R</w:t>
      </w:r>
      <w:r w:rsidR="00F30CB2">
        <w:rPr>
          <w:rFonts w:ascii="Times New Roman" w:eastAsia="Calibri" w:hAnsi="Times New Roman" w:cs="Times New Roman"/>
          <w:sz w:val="24"/>
          <w:szCs w:val="24"/>
        </w:rPr>
        <w:t>esearch and Innovation (R&amp;</w:t>
      </w:r>
      <w:r>
        <w:rPr>
          <w:rFonts w:ascii="Times New Roman" w:eastAsia="Calibri" w:hAnsi="Times New Roman" w:cs="Times New Roman"/>
          <w:sz w:val="24"/>
          <w:szCs w:val="24"/>
        </w:rPr>
        <w:t>I</w:t>
      </w:r>
      <w:r w:rsidR="00F30CB2">
        <w:rPr>
          <w:rFonts w:ascii="Times New Roman" w:eastAsia="Calibri" w:hAnsi="Times New Roman" w:cs="Times New Roman"/>
          <w:sz w:val="24"/>
          <w:szCs w:val="24"/>
        </w:rPr>
        <w:t>)</w:t>
      </w:r>
      <w:r>
        <w:rPr>
          <w:rFonts w:ascii="Times New Roman" w:eastAsia="Calibri" w:hAnsi="Times New Roman" w:cs="Times New Roman"/>
          <w:sz w:val="24"/>
          <w:szCs w:val="24"/>
        </w:rPr>
        <w:t xml:space="preserve"> projects resulting from Smart Specialisation priority domains. </w:t>
      </w:r>
      <w:r w:rsidRPr="006677B1">
        <w:rPr>
          <w:rFonts w:ascii="Times New Roman" w:eastAsia="Calibri" w:hAnsi="Times New Roman" w:cs="Times New Roman"/>
          <w:sz w:val="24"/>
          <w:szCs w:val="24"/>
        </w:rPr>
        <w:t>It will contribute to the economic development and regional cooperation in the Western Balkans alongside the overall EU support for a rapid restart of the region’s economy.</w:t>
      </w:r>
    </w:p>
    <w:p w14:paraId="60E428F3" w14:textId="77777777" w:rsidR="005739B7" w:rsidRPr="005742F9" w:rsidRDefault="005739B7" w:rsidP="005739B7">
      <w:pPr>
        <w:spacing w:after="120" w:line="240" w:lineRule="auto"/>
        <w:jc w:val="both"/>
        <w:rPr>
          <w:rFonts w:ascii="Times New Roman" w:eastAsia="Calibri" w:hAnsi="Times New Roman" w:cs="Times New Roman"/>
          <w:sz w:val="24"/>
          <w:szCs w:val="24"/>
        </w:rPr>
      </w:pPr>
      <w:r w:rsidRPr="00F83B78">
        <w:rPr>
          <w:rFonts w:ascii="Times New Roman" w:eastAsia="Calibri" w:hAnsi="Times New Roman" w:cs="Times New Roman"/>
          <w:sz w:val="24"/>
          <w:szCs w:val="24"/>
        </w:rPr>
        <w:t>The out</w:t>
      </w:r>
      <w:r>
        <w:rPr>
          <w:rFonts w:ascii="Times New Roman" w:eastAsia="Calibri" w:hAnsi="Times New Roman" w:cs="Times New Roman"/>
          <w:sz w:val="24"/>
          <w:szCs w:val="24"/>
        </w:rPr>
        <w:t>break of the COVID-19 pandemic was</w:t>
      </w:r>
      <w:r w:rsidRPr="00F83B78">
        <w:rPr>
          <w:rFonts w:ascii="Times New Roman" w:eastAsia="Calibri" w:hAnsi="Times New Roman" w:cs="Times New Roman"/>
          <w:sz w:val="24"/>
          <w:szCs w:val="24"/>
        </w:rPr>
        <w:t xml:space="preserve"> a global shock that </w:t>
      </w:r>
      <w:r>
        <w:rPr>
          <w:rFonts w:ascii="Times New Roman" w:eastAsia="Calibri" w:hAnsi="Times New Roman" w:cs="Times New Roman"/>
          <w:sz w:val="24"/>
          <w:szCs w:val="24"/>
        </w:rPr>
        <w:t>did</w:t>
      </w:r>
      <w:r w:rsidRPr="00F83B78">
        <w:rPr>
          <w:rFonts w:ascii="Times New Roman" w:eastAsia="Calibri" w:hAnsi="Times New Roman" w:cs="Times New Roman"/>
          <w:sz w:val="24"/>
          <w:szCs w:val="24"/>
        </w:rPr>
        <w:t xml:space="preserve"> not spare the </w:t>
      </w:r>
      <w:r>
        <w:rPr>
          <w:rFonts w:ascii="Times New Roman" w:eastAsia="Calibri" w:hAnsi="Times New Roman" w:cs="Times New Roman"/>
          <w:sz w:val="24"/>
          <w:szCs w:val="24"/>
        </w:rPr>
        <w:t>enlargement region</w:t>
      </w:r>
      <w:r w:rsidRPr="00F83B78">
        <w:rPr>
          <w:rFonts w:ascii="Times New Roman" w:eastAsia="Calibri" w:hAnsi="Times New Roman" w:cs="Times New Roman"/>
          <w:sz w:val="24"/>
          <w:szCs w:val="24"/>
        </w:rPr>
        <w:t>. It represent</w:t>
      </w:r>
      <w:r>
        <w:rPr>
          <w:rFonts w:ascii="Times New Roman" w:eastAsia="Calibri" w:hAnsi="Times New Roman" w:cs="Times New Roman"/>
          <w:sz w:val="24"/>
          <w:szCs w:val="24"/>
        </w:rPr>
        <w:t>ed</w:t>
      </w:r>
      <w:r w:rsidRPr="00F83B78">
        <w:rPr>
          <w:rFonts w:ascii="Times New Roman" w:eastAsia="Calibri" w:hAnsi="Times New Roman" w:cs="Times New Roman"/>
          <w:sz w:val="24"/>
          <w:szCs w:val="24"/>
        </w:rPr>
        <w:t xml:space="preserve"> an unprecedented burden on </w:t>
      </w:r>
      <w:r>
        <w:rPr>
          <w:rFonts w:ascii="Times New Roman" w:eastAsia="Calibri" w:hAnsi="Times New Roman" w:cs="Times New Roman"/>
          <w:sz w:val="24"/>
          <w:szCs w:val="24"/>
        </w:rPr>
        <w:t>the</w:t>
      </w:r>
      <w:r w:rsidRPr="00F83B78">
        <w:rPr>
          <w:rFonts w:ascii="Times New Roman" w:eastAsia="Calibri" w:hAnsi="Times New Roman" w:cs="Times New Roman"/>
          <w:sz w:val="24"/>
          <w:szCs w:val="24"/>
        </w:rPr>
        <w:t xml:space="preserve"> health and social protection systems</w:t>
      </w:r>
      <w:r>
        <w:rPr>
          <w:rFonts w:ascii="Times New Roman" w:eastAsia="Calibri" w:hAnsi="Times New Roman" w:cs="Times New Roman"/>
          <w:sz w:val="24"/>
          <w:szCs w:val="24"/>
        </w:rPr>
        <w:t xml:space="preserve"> of the IPA III beneficiaries</w:t>
      </w:r>
      <w:r w:rsidRPr="00F83B78">
        <w:rPr>
          <w:rFonts w:ascii="Times New Roman" w:eastAsia="Calibri" w:hAnsi="Times New Roman" w:cs="Times New Roman"/>
          <w:sz w:val="24"/>
          <w:szCs w:val="24"/>
        </w:rPr>
        <w:t>. The final extent of its footprint in terms of loss of human lives and damage to the economies is s</w:t>
      </w:r>
      <w:r>
        <w:rPr>
          <w:rFonts w:ascii="Times New Roman" w:eastAsia="Calibri" w:hAnsi="Times New Roman" w:cs="Times New Roman"/>
          <w:sz w:val="24"/>
          <w:szCs w:val="24"/>
        </w:rPr>
        <w:t>till difficult to assess</w:t>
      </w:r>
      <w:r w:rsidRPr="00F83B78">
        <w:rPr>
          <w:rFonts w:ascii="Times New Roman" w:eastAsia="Calibri" w:hAnsi="Times New Roman" w:cs="Times New Roman"/>
          <w:sz w:val="24"/>
          <w:szCs w:val="24"/>
        </w:rPr>
        <w:t>. Thousands of citizens are at risk of losing their jobs, and temporary government support measures (unemployment benefits, deferrals/waivers to tax and social security contributions, etc.) have an important fiscal impact</w:t>
      </w:r>
      <w:r>
        <w:rPr>
          <w:rFonts w:ascii="Times New Roman" w:eastAsia="Calibri" w:hAnsi="Times New Roman" w:cs="Times New Roman"/>
          <w:sz w:val="24"/>
          <w:szCs w:val="24"/>
        </w:rPr>
        <w:t>.</w:t>
      </w:r>
    </w:p>
    <w:p w14:paraId="729ADB29" w14:textId="2FC9488A" w:rsidR="009C5E02" w:rsidRDefault="005739B7" w:rsidP="005739B7">
      <w:p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 xml:space="preserve">Given the potential for inclusive and sustainable economic growth, further support to tackle some of the private sector’s key challenges remains crucial: expedite structural adjustment; foster an environment conducive to business creation and to domestic and inward foreign investment; </w:t>
      </w:r>
      <w:r w:rsidR="00773482">
        <w:rPr>
          <w:rFonts w:ascii="Times New Roman" w:eastAsia="Calibri" w:hAnsi="Times New Roman" w:cs="Times New Roman"/>
          <w:sz w:val="24"/>
          <w:szCs w:val="24"/>
          <w:lang w:val="en-US"/>
        </w:rPr>
        <w:t>promote the use of international</w:t>
      </w:r>
      <w:r w:rsidR="00D44E71" w:rsidRPr="00D44E71">
        <w:rPr>
          <w:rFonts w:ascii="Times New Roman" w:eastAsia="Calibri" w:hAnsi="Times New Roman" w:cs="Times New Roman"/>
          <w:sz w:val="24"/>
          <w:szCs w:val="24"/>
          <w:lang w:val="en-US"/>
        </w:rPr>
        <w:t xml:space="preserve"> standards;</w:t>
      </w:r>
      <w:r w:rsidR="00D44E71">
        <w:rPr>
          <w:rFonts w:ascii="Times New Roman" w:eastAsia="Calibri" w:hAnsi="Times New Roman" w:cs="Times New Roman"/>
          <w:sz w:val="24"/>
          <w:szCs w:val="24"/>
          <w:lang w:val="en-US"/>
        </w:rPr>
        <w:t xml:space="preserve"> </w:t>
      </w:r>
      <w:r w:rsidRPr="005742F9">
        <w:rPr>
          <w:rFonts w:ascii="Times New Roman" w:eastAsia="Calibri" w:hAnsi="Times New Roman" w:cs="Times New Roman"/>
          <w:sz w:val="24"/>
          <w:szCs w:val="24"/>
        </w:rPr>
        <w:t xml:space="preserve">promote small and medium-sized businesses (SMEs); promote entrepreneurship; </w:t>
      </w:r>
      <w:r w:rsidR="00D424E5">
        <w:rPr>
          <w:rFonts w:ascii="Times New Roman" w:eastAsia="Calibri" w:hAnsi="Times New Roman" w:cs="Times New Roman"/>
          <w:sz w:val="24"/>
          <w:szCs w:val="24"/>
        </w:rPr>
        <w:t>support the digitisation of industry,</w:t>
      </w:r>
      <w:r w:rsidR="00D424E5" w:rsidRPr="005742F9">
        <w:rPr>
          <w:rFonts w:ascii="Times New Roman" w:eastAsia="Calibri" w:hAnsi="Times New Roman" w:cs="Times New Roman"/>
          <w:sz w:val="24"/>
          <w:szCs w:val="24"/>
        </w:rPr>
        <w:t xml:space="preserve"> </w:t>
      </w:r>
      <w:r w:rsidRPr="005742F9">
        <w:rPr>
          <w:rFonts w:ascii="Times New Roman" w:eastAsia="Calibri" w:hAnsi="Times New Roman" w:cs="Times New Roman"/>
          <w:sz w:val="24"/>
          <w:szCs w:val="24"/>
        </w:rPr>
        <w:t xml:space="preserve">encourage innovation. In particular, for Micro, Small and Medium Enterprises (MSMEs), challenges include </w:t>
      </w:r>
      <w:r w:rsidR="00D44E71" w:rsidRPr="00D44E71">
        <w:rPr>
          <w:rFonts w:ascii="Times New Roman" w:eastAsia="Calibri" w:hAnsi="Times New Roman" w:cs="Times New Roman"/>
          <w:sz w:val="24"/>
          <w:szCs w:val="24"/>
        </w:rPr>
        <w:t>quality in their services and production,</w:t>
      </w:r>
      <w:r w:rsidRPr="005742F9">
        <w:rPr>
          <w:rFonts w:ascii="Times New Roman" w:eastAsia="Calibri" w:hAnsi="Times New Roman" w:cs="Times New Roman"/>
          <w:sz w:val="24"/>
          <w:szCs w:val="24"/>
        </w:rPr>
        <w:t xml:space="preserve"> </w:t>
      </w:r>
      <w:r w:rsidR="00D44E71">
        <w:rPr>
          <w:rFonts w:ascii="Times New Roman" w:eastAsia="Calibri" w:hAnsi="Times New Roman" w:cs="Times New Roman"/>
          <w:sz w:val="24"/>
          <w:szCs w:val="24"/>
        </w:rPr>
        <w:t xml:space="preserve">lack </w:t>
      </w:r>
      <w:r w:rsidRPr="005742F9">
        <w:rPr>
          <w:rFonts w:ascii="Times New Roman" w:eastAsia="Calibri" w:hAnsi="Times New Roman" w:cs="Times New Roman"/>
          <w:sz w:val="24"/>
          <w:szCs w:val="24"/>
        </w:rPr>
        <w:t>of access to finance and of financial inclusion (for women and youth especially), to sustainable and reliable energy and to digital technologies. Access to financial services and finance for MSMEs</w:t>
      </w:r>
      <w:r w:rsidR="004B2CDF">
        <w:rPr>
          <w:rFonts w:ascii="Times New Roman" w:eastAsia="Calibri" w:hAnsi="Times New Roman" w:cs="Times New Roman"/>
          <w:sz w:val="24"/>
          <w:szCs w:val="24"/>
        </w:rPr>
        <w:t xml:space="preserve"> and consumers</w:t>
      </w:r>
      <w:r w:rsidRPr="005742F9">
        <w:rPr>
          <w:rFonts w:ascii="Times New Roman" w:eastAsia="Calibri" w:hAnsi="Times New Roman" w:cs="Times New Roman"/>
          <w:sz w:val="24"/>
          <w:szCs w:val="24"/>
        </w:rPr>
        <w:t xml:space="preserve"> and for small-scale farming needs to be supported, including through access to opportunities offered by digital technologies through digital financial services, which have extended to credit, savings, insurance and </w:t>
      </w:r>
      <w:r w:rsidR="004B2CDF">
        <w:rPr>
          <w:rFonts w:ascii="Times New Roman" w:eastAsia="Calibri" w:hAnsi="Times New Roman" w:cs="Times New Roman"/>
          <w:sz w:val="24"/>
          <w:szCs w:val="24"/>
        </w:rPr>
        <w:t xml:space="preserve">payments, including </w:t>
      </w:r>
      <w:r w:rsidRPr="005742F9">
        <w:rPr>
          <w:rFonts w:ascii="Times New Roman" w:eastAsia="Calibri" w:hAnsi="Times New Roman" w:cs="Times New Roman"/>
          <w:sz w:val="24"/>
          <w:szCs w:val="24"/>
        </w:rPr>
        <w:t xml:space="preserve">cross-border remittances. </w:t>
      </w:r>
    </w:p>
    <w:p w14:paraId="2C03E598" w14:textId="04A0E3A1" w:rsidR="005739B7" w:rsidRPr="005742F9" w:rsidRDefault="009C5E02" w:rsidP="005739B7">
      <w:pPr>
        <w:spacing w:after="120" w:line="240" w:lineRule="auto"/>
        <w:jc w:val="both"/>
        <w:rPr>
          <w:rFonts w:ascii="Times New Roman" w:hAnsi="Times New Roman" w:cs="Times New Roman"/>
          <w:sz w:val="24"/>
          <w:szCs w:val="24"/>
        </w:rPr>
      </w:pPr>
      <w:r>
        <w:rPr>
          <w:rFonts w:ascii="Times New Roman" w:eastAsia="Calibri" w:hAnsi="Times New Roman" w:cs="Times New Roman"/>
          <w:sz w:val="24"/>
          <w:szCs w:val="24"/>
        </w:rPr>
        <w:t>T</w:t>
      </w:r>
      <w:r w:rsidR="005739B7" w:rsidRPr="005742F9">
        <w:rPr>
          <w:rFonts w:ascii="Times New Roman" w:eastAsia="Calibri" w:hAnsi="Times New Roman" w:cs="Times New Roman"/>
          <w:sz w:val="24"/>
          <w:szCs w:val="24"/>
        </w:rPr>
        <w:t xml:space="preserve">he Small Business Act (SBA), the overarching framework for the EU policy on SMEs, will be the guiding reference. It aims to improve the approach to entrepreneurship in Europe and in the enlargement region, simplify the regulatory and policy environment for SMEs, and remove the remaining barriers to their development. </w:t>
      </w:r>
      <w:r w:rsidR="005739B7" w:rsidRPr="005742F9">
        <w:rPr>
          <w:rFonts w:ascii="Times New Roman" w:hAnsi="Times New Roman" w:cs="Times New Roman"/>
          <w:sz w:val="24"/>
          <w:szCs w:val="24"/>
        </w:rPr>
        <w:t>Prosperity and stability also require investment in quality education systems that truly mitigate social inequalities rather than entrenching them. Education generates tangible multifaceted benefits for society through learning and acquiring skills, playing an essential role in personal, social and economic development. Human development policies need to be enhanced through the modernisation of education and employment policies, as well as skills enhancement. Access and quality of education need to be improved. This can be supported by the use of digital strategies supporting all citizens in making the best out of the opportunities created by new technologies and the digitisation of economies. Such developments may be underpinned through novel approaches to innovation in skills development as part of systemic reforms in the IPA III beneficiaries.</w:t>
      </w:r>
      <w:r w:rsidR="005739B7">
        <w:rPr>
          <w:rFonts w:ascii="Times New Roman" w:hAnsi="Times New Roman" w:cs="Times New Roman"/>
          <w:sz w:val="24"/>
          <w:szCs w:val="24"/>
        </w:rPr>
        <w:t xml:space="preserve"> </w:t>
      </w:r>
    </w:p>
    <w:p w14:paraId="2C8BC09A" w14:textId="71C3E9A2" w:rsidR="005739B7" w:rsidRPr="00742D24" w:rsidRDefault="005739B7" w:rsidP="005739B7">
      <w:pPr>
        <w:spacing w:after="120" w:line="240" w:lineRule="auto"/>
        <w:jc w:val="both"/>
        <w:rPr>
          <w:rFonts w:ascii="Times New Roman" w:eastAsia="Times New Roman" w:hAnsi="Times New Roman" w:cs="Times New Roman"/>
          <w:sz w:val="24"/>
          <w:szCs w:val="24"/>
          <w:lang w:val="en-IE"/>
        </w:rPr>
      </w:pPr>
      <w:r w:rsidRPr="00742D24">
        <w:rPr>
          <w:rFonts w:ascii="Times New Roman" w:eastAsia="Times New Roman" w:hAnsi="Times New Roman" w:cs="Times New Roman"/>
          <w:sz w:val="24"/>
          <w:szCs w:val="24"/>
        </w:rPr>
        <w:t>A well-functioning and resilient economy</w:t>
      </w:r>
      <w:r w:rsidR="00D44E71" w:rsidRPr="00D44E71">
        <w:rPr>
          <w:rFonts w:ascii="Times New Roman" w:eastAsia="Times New Roman" w:hAnsi="Times New Roman" w:cs="Times New Roman"/>
          <w:sz w:val="24"/>
          <w:szCs w:val="24"/>
        </w:rPr>
        <w:t>, relying on a rule-based system,</w:t>
      </w:r>
      <w:r w:rsidRPr="00742D24">
        <w:rPr>
          <w:rFonts w:ascii="Times New Roman" w:eastAsia="Times New Roman" w:hAnsi="Times New Roman" w:cs="Times New Roman"/>
          <w:sz w:val="24"/>
          <w:szCs w:val="24"/>
        </w:rPr>
        <w:t xml:space="preserve"> is crucial for the prosperity of citizens. It needs to be based on a vibrant and innovative private sector that is able to </w:t>
      </w:r>
      <w:r w:rsidR="00D44E71" w:rsidRPr="00D44E71">
        <w:rPr>
          <w:rFonts w:ascii="Times New Roman" w:eastAsia="Times New Roman" w:hAnsi="Times New Roman" w:cs="Times New Roman"/>
          <w:sz w:val="24"/>
          <w:szCs w:val="24"/>
        </w:rPr>
        <w:t xml:space="preserve">comply with national, regional and international market requirements and </w:t>
      </w:r>
      <w:r w:rsidRPr="00742D24">
        <w:rPr>
          <w:rFonts w:ascii="Times New Roman" w:eastAsia="Times New Roman" w:hAnsi="Times New Roman" w:cs="Times New Roman"/>
          <w:sz w:val="24"/>
          <w:szCs w:val="24"/>
        </w:rPr>
        <w:t>compete also at an international level, which in turn requires a well-trained</w:t>
      </w:r>
      <w:r>
        <w:rPr>
          <w:rFonts w:ascii="Times New Roman" w:eastAsia="Times New Roman" w:hAnsi="Times New Roman" w:cs="Times New Roman"/>
          <w:sz w:val="24"/>
          <w:szCs w:val="24"/>
        </w:rPr>
        <w:t>, skilful</w:t>
      </w:r>
      <w:r w:rsidRPr="00742D24">
        <w:rPr>
          <w:rFonts w:ascii="Times New Roman" w:eastAsia="Times New Roman" w:hAnsi="Times New Roman" w:cs="Times New Roman"/>
          <w:sz w:val="24"/>
          <w:szCs w:val="24"/>
        </w:rPr>
        <w:t xml:space="preserve"> and productive workforce</w:t>
      </w:r>
      <w:r w:rsidR="00D44E71" w:rsidRPr="00D44E71">
        <w:t xml:space="preserve"> </w:t>
      </w:r>
      <w:r w:rsidR="00D44E71">
        <w:rPr>
          <w:rFonts w:ascii="Times New Roman" w:eastAsia="Times New Roman" w:hAnsi="Times New Roman" w:cs="Times New Roman"/>
          <w:sz w:val="24"/>
          <w:szCs w:val="24"/>
        </w:rPr>
        <w:t>as well as</w:t>
      </w:r>
      <w:r w:rsidR="00D44E71" w:rsidRPr="00D44E71">
        <w:rPr>
          <w:rFonts w:ascii="Times New Roman" w:eastAsia="Times New Roman" w:hAnsi="Times New Roman" w:cs="Times New Roman"/>
          <w:sz w:val="24"/>
          <w:szCs w:val="24"/>
        </w:rPr>
        <w:t xml:space="preserve"> strong</w:t>
      </w:r>
      <w:r w:rsidR="00D44E71">
        <w:rPr>
          <w:rFonts w:ascii="Times New Roman" w:eastAsia="Times New Roman" w:hAnsi="Times New Roman" w:cs="Times New Roman"/>
          <w:sz w:val="24"/>
          <w:szCs w:val="24"/>
        </w:rPr>
        <w:t xml:space="preserve"> and</w:t>
      </w:r>
      <w:r w:rsidR="00D44E71" w:rsidRPr="00D44E71">
        <w:rPr>
          <w:rFonts w:ascii="Times New Roman" w:eastAsia="Times New Roman" w:hAnsi="Times New Roman" w:cs="Times New Roman"/>
          <w:sz w:val="24"/>
          <w:szCs w:val="24"/>
        </w:rPr>
        <w:t xml:space="preserve"> supporting institutions</w:t>
      </w:r>
      <w:r w:rsidRPr="00742D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knowledge-triangle, especially in the Smart Specialisation priority domains, academia-business cooperation, technology transfer, and support to regional innovation funds are key elements to boost the post-COVID</w:t>
      </w:r>
      <w:r w:rsidR="00F30CB2">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economy recovery.</w:t>
      </w:r>
      <w:r w:rsidRPr="00742D24">
        <w:rPr>
          <w:rFonts w:ascii="Times New Roman" w:eastAsia="Times New Roman" w:hAnsi="Times New Roman" w:cs="Times New Roman"/>
          <w:sz w:val="24"/>
          <w:szCs w:val="24"/>
        </w:rPr>
        <w:t xml:space="preserve"> In line with the Economic and Investment Plan</w:t>
      </w:r>
      <w:r>
        <w:rPr>
          <w:rFonts w:ascii="Times New Roman" w:eastAsia="Times New Roman" w:hAnsi="Times New Roman" w:cs="Times New Roman"/>
          <w:sz w:val="24"/>
          <w:szCs w:val="24"/>
        </w:rPr>
        <w:t xml:space="preserve"> for the Western Balkans and the </w:t>
      </w:r>
      <w:r w:rsidRPr="006677B1">
        <w:rPr>
          <w:rFonts w:ascii="Times New Roman" w:eastAsia="Times New Roman" w:hAnsi="Times New Roman" w:cs="Times New Roman"/>
          <w:sz w:val="24"/>
          <w:szCs w:val="24"/>
        </w:rPr>
        <w:t>Western Balkans Agenda on Innovation, Research, Education, Culture, Youth and Sport</w:t>
      </w:r>
      <w:r w:rsidRPr="00742D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IPA III will</w:t>
      </w:r>
      <w:r w:rsidRPr="00742D24">
        <w:rPr>
          <w:rFonts w:ascii="Times New Roman" w:eastAsia="Times New Roman" w:hAnsi="Times New Roman" w:cs="Times New Roman"/>
          <w:sz w:val="24"/>
          <w:szCs w:val="24"/>
          <w:lang w:val="en-IE"/>
        </w:rPr>
        <w:t xml:space="preserve"> support the development of human capital by increasing assistance in areas such as education and training, </w:t>
      </w:r>
      <w:r>
        <w:rPr>
          <w:rFonts w:ascii="Times New Roman" w:eastAsia="Times New Roman" w:hAnsi="Times New Roman" w:cs="Times New Roman"/>
          <w:sz w:val="24"/>
          <w:szCs w:val="24"/>
          <w:lang w:val="en-IE"/>
        </w:rPr>
        <w:t xml:space="preserve">skills for innovation, </w:t>
      </w:r>
      <w:r w:rsidRPr="00742D24">
        <w:rPr>
          <w:rFonts w:ascii="Times New Roman" w:eastAsia="Times New Roman" w:hAnsi="Times New Roman" w:cs="Times New Roman"/>
          <w:sz w:val="24"/>
          <w:szCs w:val="24"/>
          <w:lang w:val="en-IE"/>
        </w:rPr>
        <w:t>health, employment, social protection and culture</w:t>
      </w:r>
      <w:r>
        <w:rPr>
          <w:rFonts w:ascii="Times New Roman" w:eastAsia="Times New Roman" w:hAnsi="Times New Roman" w:cs="Times New Roman"/>
          <w:sz w:val="24"/>
          <w:szCs w:val="24"/>
          <w:lang w:val="en-IE"/>
        </w:rPr>
        <w:t>. It will also promote</w:t>
      </w:r>
      <w:r w:rsidRPr="00FA05B6">
        <w:rPr>
          <w:rFonts w:ascii="Times New Roman" w:eastAsia="Times New Roman" w:hAnsi="Times New Roman" w:cs="Times New Roman"/>
          <w:sz w:val="24"/>
          <w:szCs w:val="24"/>
          <w:lang w:val="en-IE"/>
        </w:rPr>
        <w:t xml:space="preserve"> a better integration of the EU and Western Balkans industrial value chains, embedded in the industrial ecosystems’ rationale</w:t>
      </w:r>
      <w:r w:rsidRPr="00742D24">
        <w:rPr>
          <w:rFonts w:ascii="Times New Roman" w:eastAsia="Times New Roman" w:hAnsi="Times New Roman" w:cs="Times New Roman"/>
          <w:sz w:val="24"/>
          <w:szCs w:val="24"/>
          <w:lang w:val="en-IE"/>
        </w:rPr>
        <w:t xml:space="preserve">. </w:t>
      </w:r>
    </w:p>
    <w:p w14:paraId="08689942" w14:textId="77777777" w:rsidR="005739B7" w:rsidRPr="005742F9" w:rsidRDefault="005739B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 highlighted by the COVID-19 crisis, strong health systems are of crucial importance for the security of society as a whole. IPA III may contribute to reinforcing the robustness of health systems in the IPA III beneficiaries. Where relevant, the </w:t>
      </w:r>
      <w:r w:rsidRPr="00B7552A">
        <w:rPr>
          <w:rFonts w:ascii="Times New Roman" w:hAnsi="Times New Roman" w:cs="Times New Roman"/>
          <w:sz w:val="24"/>
          <w:szCs w:val="24"/>
        </w:rPr>
        <w:t>EU Strategy for the Adriatic-Ionian Region (EUSAIR) and the EU Strategy for the Danube Region (EUSDR) can enable a balanced recovery and an even playing field reducing regional disparities and increasing cohesion and convergence.</w:t>
      </w:r>
    </w:p>
    <w:p w14:paraId="2FCC2D21"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Labour market imbalances need to be addressed and employability improved, especially among women and young people, to ensure decent work at the appropriate skill levels. Through social dialogue and the engagement of social partners and civil society organisations, reforms can benefit all citizens in an inclusive manner. Support for the development of better health systems and social protection policies contribute to the </w:t>
      </w:r>
      <w:r>
        <w:rPr>
          <w:rFonts w:ascii="Times New Roman" w:hAnsi="Times New Roman" w:cs="Times New Roman"/>
          <w:sz w:val="24"/>
          <w:szCs w:val="24"/>
        </w:rPr>
        <w:t>social cohesion and</w:t>
      </w:r>
      <w:r w:rsidRPr="005742F9">
        <w:rPr>
          <w:rFonts w:ascii="Times New Roman" w:hAnsi="Times New Roman" w:cs="Times New Roman"/>
          <w:sz w:val="24"/>
          <w:szCs w:val="24"/>
        </w:rPr>
        <w:t xml:space="preserve"> progress towards a more inclusive society for vulnerable groups, including Roma communities, persons with disabilities and LGBTI.</w:t>
      </w:r>
    </w:p>
    <w:p w14:paraId="46EC0EA6"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Sustainable economic development and increasing job opportunities are essential also to foster social inclusion and to stem the demographic challenges of the Western Balkans, with high emigration and low birth rates. Without stronger economies, these phenomena will continue, with the associated risks of widespread disenchantment, especially among the youth, brain drain and declining social cohesion. </w:t>
      </w:r>
    </w:p>
    <w:p w14:paraId="68FAD0F7" w14:textId="0475D96F"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The beneficiaries also need to achieve a balanced territorial development by raising social, environmental and economic standards in rural and coastal areas, strengthening the competitiveness and viability of the agri-food</w:t>
      </w:r>
      <w:r>
        <w:rPr>
          <w:rFonts w:ascii="Times New Roman" w:hAnsi="Times New Roman" w:cs="Times New Roman"/>
          <w:sz w:val="24"/>
          <w:szCs w:val="24"/>
        </w:rPr>
        <w:t>,</w:t>
      </w:r>
      <w:r w:rsidR="00773482">
        <w:rPr>
          <w:rFonts w:ascii="Times New Roman" w:hAnsi="Times New Roman" w:cs="Times New Roman"/>
          <w:sz w:val="24"/>
          <w:szCs w:val="24"/>
        </w:rPr>
        <w:t xml:space="preserve"> </w:t>
      </w:r>
      <w:r w:rsidRPr="005742F9">
        <w:rPr>
          <w:rFonts w:ascii="Times New Roman" w:hAnsi="Times New Roman" w:cs="Times New Roman"/>
          <w:sz w:val="24"/>
          <w:szCs w:val="24"/>
        </w:rPr>
        <w:t xml:space="preserve">fishery </w:t>
      </w:r>
      <w:r>
        <w:rPr>
          <w:rFonts w:ascii="Times New Roman" w:hAnsi="Times New Roman" w:cs="Times New Roman"/>
          <w:sz w:val="24"/>
          <w:szCs w:val="24"/>
        </w:rPr>
        <w:t xml:space="preserve">and raw materials </w:t>
      </w:r>
      <w:r w:rsidRPr="005742F9">
        <w:rPr>
          <w:rFonts w:ascii="Times New Roman" w:hAnsi="Times New Roman" w:cs="Times New Roman"/>
          <w:sz w:val="24"/>
          <w:szCs w:val="24"/>
        </w:rPr>
        <w:t>sectors and ensuring sustainable management of natural resources in line with the EU Common Agricultural</w:t>
      </w:r>
      <w:r>
        <w:rPr>
          <w:rFonts w:ascii="Times New Roman" w:hAnsi="Times New Roman" w:cs="Times New Roman"/>
          <w:sz w:val="24"/>
          <w:szCs w:val="24"/>
        </w:rPr>
        <w:t xml:space="preserve">, </w:t>
      </w:r>
      <w:r w:rsidRPr="005742F9">
        <w:rPr>
          <w:rFonts w:ascii="Times New Roman" w:hAnsi="Times New Roman" w:cs="Times New Roman"/>
          <w:sz w:val="24"/>
          <w:szCs w:val="24"/>
        </w:rPr>
        <w:t>Common Fisheries Policies</w:t>
      </w:r>
      <w:r>
        <w:rPr>
          <w:rFonts w:ascii="Times New Roman" w:hAnsi="Times New Roman" w:cs="Times New Roman"/>
          <w:sz w:val="24"/>
          <w:szCs w:val="24"/>
        </w:rPr>
        <w:t xml:space="preserve"> and the EU industrial strategy</w:t>
      </w:r>
      <w:r w:rsidRPr="005742F9">
        <w:rPr>
          <w:rFonts w:ascii="Times New Roman" w:hAnsi="Times New Roman" w:cs="Times New Roman"/>
          <w:sz w:val="24"/>
          <w:szCs w:val="24"/>
        </w:rPr>
        <w:t>.</w:t>
      </w:r>
    </w:p>
    <w:p w14:paraId="792F8BB0" w14:textId="77777777" w:rsidR="005739B7" w:rsidRPr="005742F9" w:rsidRDefault="005739B7" w:rsidP="005739B7">
      <w:pPr>
        <w:spacing w:after="120" w:line="240" w:lineRule="auto"/>
        <w:ind w:left="360"/>
        <w:jc w:val="both"/>
        <w:rPr>
          <w:rFonts w:ascii="Times New Roman" w:hAnsi="Times New Roman" w:cs="Times New Roman"/>
          <w:sz w:val="24"/>
          <w:szCs w:val="24"/>
        </w:rPr>
      </w:pPr>
    </w:p>
    <w:p w14:paraId="300ED7B9" w14:textId="77777777" w:rsidR="005739B7" w:rsidRPr="005742F9" w:rsidRDefault="005739B7" w:rsidP="005739B7">
      <w:pPr>
        <w:numPr>
          <w:ilvl w:val="0"/>
          <w:numId w:val="15"/>
        </w:numPr>
        <w:spacing w:after="120" w:line="240" w:lineRule="auto"/>
        <w:rPr>
          <w:rFonts w:ascii="Times New Roman" w:hAnsi="Times New Roman" w:cs="Times New Roman"/>
          <w:b/>
          <w:bCs/>
        </w:rPr>
      </w:pPr>
      <w:r w:rsidRPr="005742F9">
        <w:rPr>
          <w:rFonts w:ascii="Times New Roman" w:hAnsi="Times New Roman" w:cs="Times New Roman"/>
          <w:b/>
          <w:bCs/>
        </w:rPr>
        <w:t xml:space="preserve">Key priorities for IPA III support </w:t>
      </w:r>
    </w:p>
    <w:p w14:paraId="4476A68E" w14:textId="23A26C04"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The overall objective of the EU’s assistance under Window 4 is to strengthen economic and social development, including through education, </w:t>
      </w:r>
      <w:r w:rsidR="00B5005A" w:rsidRPr="00B5005A">
        <w:rPr>
          <w:rFonts w:ascii="Times New Roman" w:hAnsi="Times New Roman" w:cs="Times New Roman"/>
          <w:sz w:val="24"/>
          <w:szCs w:val="24"/>
        </w:rPr>
        <w:t>competitiveness,</w:t>
      </w:r>
      <w:r w:rsidR="00B5005A">
        <w:rPr>
          <w:rFonts w:ascii="Times New Roman" w:hAnsi="Times New Roman" w:cs="Times New Roman"/>
          <w:sz w:val="24"/>
          <w:szCs w:val="24"/>
        </w:rPr>
        <w:t xml:space="preserve"> </w:t>
      </w:r>
      <w:r w:rsidR="00BF46EA">
        <w:rPr>
          <w:rFonts w:ascii="Times New Roman" w:hAnsi="Times New Roman" w:cs="Times New Roman"/>
          <w:sz w:val="24"/>
          <w:szCs w:val="24"/>
        </w:rPr>
        <w:t xml:space="preserve">research and </w:t>
      </w:r>
      <w:r>
        <w:rPr>
          <w:rFonts w:ascii="Times New Roman" w:hAnsi="Times New Roman" w:cs="Times New Roman"/>
          <w:sz w:val="24"/>
          <w:szCs w:val="24"/>
        </w:rPr>
        <w:t xml:space="preserve">innovation, </w:t>
      </w:r>
      <w:r w:rsidRPr="005742F9">
        <w:rPr>
          <w:rFonts w:ascii="Times New Roman" w:hAnsi="Times New Roman" w:cs="Times New Roman"/>
          <w:sz w:val="24"/>
          <w:szCs w:val="24"/>
        </w:rPr>
        <w:t>social inclusion</w:t>
      </w:r>
      <w:r w:rsidR="00B5005A">
        <w:rPr>
          <w:rFonts w:ascii="Times New Roman" w:hAnsi="Times New Roman" w:cs="Times New Roman"/>
          <w:sz w:val="24"/>
          <w:szCs w:val="24"/>
        </w:rPr>
        <w:t>, industrial</w:t>
      </w:r>
      <w:r w:rsidRPr="005742F9">
        <w:rPr>
          <w:rFonts w:ascii="Times New Roman" w:hAnsi="Times New Roman" w:cs="Times New Roman"/>
          <w:sz w:val="24"/>
          <w:szCs w:val="24"/>
        </w:rPr>
        <w:t xml:space="preserve"> and employment policies, with a specific focus on private sector development as well as agriculture</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rural </w:t>
      </w:r>
      <w:r>
        <w:rPr>
          <w:rFonts w:ascii="Times New Roman" w:hAnsi="Times New Roman" w:cs="Times New Roman"/>
          <w:sz w:val="24"/>
          <w:szCs w:val="24"/>
        </w:rPr>
        <w:t xml:space="preserve">and industrial </w:t>
      </w:r>
      <w:r w:rsidRPr="005742F9">
        <w:rPr>
          <w:rFonts w:ascii="Times New Roman" w:hAnsi="Times New Roman" w:cs="Times New Roman"/>
          <w:sz w:val="24"/>
          <w:szCs w:val="24"/>
        </w:rPr>
        <w:t xml:space="preserve">development. Gender </w:t>
      </w:r>
      <w:r>
        <w:rPr>
          <w:rFonts w:ascii="Times New Roman" w:hAnsi="Times New Roman" w:cs="Times New Roman"/>
          <w:sz w:val="24"/>
          <w:szCs w:val="24"/>
        </w:rPr>
        <w:t xml:space="preserve">equality, reduction of inequalities and enhancing of social cohesion </w:t>
      </w:r>
      <w:r w:rsidRPr="005742F9">
        <w:rPr>
          <w:rFonts w:ascii="Times New Roman" w:hAnsi="Times New Roman" w:cs="Times New Roman"/>
          <w:sz w:val="24"/>
          <w:szCs w:val="24"/>
        </w:rPr>
        <w:t>need to be taken into account</w:t>
      </w:r>
      <w:r w:rsidR="006528D6">
        <w:rPr>
          <w:rFonts w:ascii="Times New Roman" w:hAnsi="Times New Roman" w:cs="Times New Roman"/>
          <w:sz w:val="24"/>
          <w:szCs w:val="24"/>
        </w:rPr>
        <w:t xml:space="preserve">, </w:t>
      </w:r>
      <w:r w:rsidR="00437D60">
        <w:rPr>
          <w:rFonts w:ascii="Times New Roman" w:hAnsi="Times New Roman" w:cs="Times New Roman"/>
          <w:sz w:val="24"/>
          <w:szCs w:val="24"/>
        </w:rPr>
        <w:t>for example by</w:t>
      </w:r>
      <w:r w:rsidR="006528D6" w:rsidRPr="006528D6">
        <w:rPr>
          <w:rFonts w:ascii="Times New Roman" w:hAnsi="Times New Roman" w:cs="Times New Roman"/>
          <w:sz w:val="24"/>
          <w:szCs w:val="24"/>
        </w:rPr>
        <w:t xml:space="preserve"> greening enterprises for job creation, with focus on women, youth and refugees</w:t>
      </w:r>
      <w:r w:rsidRPr="005742F9">
        <w:rPr>
          <w:rFonts w:ascii="Times New Roman" w:hAnsi="Times New Roman" w:cs="Times New Roman"/>
          <w:sz w:val="24"/>
          <w:szCs w:val="24"/>
        </w:rPr>
        <w:t>.</w:t>
      </w:r>
    </w:p>
    <w:p w14:paraId="16E060F7" w14:textId="1A4D5E67" w:rsidR="005739B7" w:rsidRPr="005742F9" w:rsidRDefault="005739B7" w:rsidP="005739B7">
      <w:pPr>
        <w:spacing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IPA III will also contribute to build</w:t>
      </w:r>
      <w:r w:rsidRPr="00A25E35">
        <w:rPr>
          <w:rFonts w:ascii="Times New Roman" w:hAnsi="Times New Roman" w:cs="Times New Roman"/>
          <w:sz w:val="24"/>
          <w:szCs w:val="24"/>
        </w:rPr>
        <w:t xml:space="preserve"> resilience and support the </w:t>
      </w:r>
      <w:r>
        <w:rPr>
          <w:rFonts w:ascii="Times New Roman" w:hAnsi="Times New Roman" w:cs="Times New Roman"/>
          <w:sz w:val="24"/>
          <w:szCs w:val="24"/>
        </w:rPr>
        <w:t xml:space="preserve">socio-economic recovery of the region, including by ensuring the </w:t>
      </w:r>
      <w:r w:rsidRPr="00F83B78">
        <w:rPr>
          <w:rFonts w:ascii="Times New Roman" w:hAnsi="Times New Roman" w:cs="Times New Roman"/>
          <w:sz w:val="24"/>
          <w:szCs w:val="24"/>
        </w:rPr>
        <w:t>macro-economic stability</w:t>
      </w:r>
      <w:r>
        <w:rPr>
          <w:rFonts w:ascii="Times New Roman" w:hAnsi="Times New Roman" w:cs="Times New Roman"/>
          <w:sz w:val="24"/>
          <w:szCs w:val="24"/>
        </w:rPr>
        <w:t xml:space="preserve"> of the IPA III beneficiaries. </w:t>
      </w:r>
      <w:r w:rsidRPr="005742F9">
        <w:rPr>
          <w:rFonts w:ascii="Times New Roman" w:hAnsi="Times New Roman" w:cs="Times New Roman"/>
          <w:sz w:val="24"/>
          <w:szCs w:val="24"/>
        </w:rPr>
        <w:t xml:space="preserve">In complementarity with the priorities of the Green Agenda supported under Window 3, Window 4 aims to address the key sector priorities for structural reforms, capital investments and improvement of sectoral administrative and institutional capacities in a holistic way. This will allow bringing about inclusive, sustainable growth and employment, in line with the existing policy framework and requirements and standards contained in by the EU </w:t>
      </w:r>
      <w:r w:rsidRPr="005742F9">
        <w:rPr>
          <w:rFonts w:ascii="Times New Roman" w:hAnsi="Times New Roman" w:cs="Times New Roman"/>
          <w:i/>
          <w:iCs/>
          <w:sz w:val="24"/>
          <w:szCs w:val="24"/>
        </w:rPr>
        <w:t>acquis</w:t>
      </w:r>
      <w:r w:rsidRPr="005742F9">
        <w:rPr>
          <w:rFonts w:ascii="Times New Roman" w:hAnsi="Times New Roman" w:cs="Times New Roman"/>
          <w:sz w:val="24"/>
          <w:szCs w:val="24"/>
        </w:rPr>
        <w:t xml:space="preserve">. It joins up economic growth, encompassing both urban and rural development. </w:t>
      </w:r>
      <w:r w:rsidRPr="005742F9">
        <w:rPr>
          <w:rFonts w:ascii="Times New Roman" w:eastAsia="Calibri" w:hAnsi="Times New Roman" w:cs="Times New Roman"/>
          <w:sz w:val="24"/>
          <w:szCs w:val="24"/>
        </w:rPr>
        <w:t xml:space="preserve">The proposed actions will also be designed in a way to assess, address and mainstream gender </w:t>
      </w:r>
      <w:r w:rsidR="006C1F2B">
        <w:rPr>
          <w:rFonts w:ascii="Times New Roman" w:eastAsia="Calibri" w:hAnsi="Times New Roman" w:cs="Times New Roman"/>
          <w:sz w:val="24"/>
          <w:szCs w:val="24"/>
        </w:rPr>
        <w:t xml:space="preserve">equality </w:t>
      </w:r>
      <w:r w:rsidRPr="005742F9">
        <w:rPr>
          <w:rFonts w:ascii="Times New Roman" w:eastAsia="Calibri" w:hAnsi="Times New Roman" w:cs="Times New Roman"/>
          <w:sz w:val="24"/>
          <w:szCs w:val="24"/>
        </w:rPr>
        <w:t xml:space="preserve">and promote gender equality. </w:t>
      </w:r>
    </w:p>
    <w:p w14:paraId="38F4B33B" w14:textId="54D7FA02" w:rsidR="005739B7"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In parallel, the Window addresses the human and social aspects of this process, through support to education, employment and in a range of areas of social development such as health access, legal aid and social care services</w:t>
      </w:r>
      <w:r>
        <w:rPr>
          <w:rFonts w:ascii="Times New Roman" w:hAnsi="Times New Roman" w:cs="Times New Roman"/>
          <w:sz w:val="24"/>
          <w:szCs w:val="24"/>
        </w:rPr>
        <w:t>, addressing also the most vulnerable groups</w:t>
      </w:r>
      <w:r w:rsidRPr="005742F9">
        <w:rPr>
          <w:rFonts w:ascii="Times New Roman" w:hAnsi="Times New Roman" w:cs="Times New Roman"/>
          <w:sz w:val="24"/>
          <w:szCs w:val="24"/>
        </w:rPr>
        <w:t xml:space="preserve">. </w:t>
      </w:r>
    </w:p>
    <w:p w14:paraId="1E8CAD8F"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Similarly, to Window 3 IPA-supported investments should be compliant with the general investment plans of the beneficiary, which should include major investment needs with detailed information on their stage of preparation and in implementation on the short, medium and long-term perspective. Such investment plans should also include possible financing sources from the budget, borrowing plans, donor contributions, private sector participations and financial constraints. </w:t>
      </w:r>
    </w:p>
    <w:p w14:paraId="15EB1999" w14:textId="441CE6CB"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Support under this window to agriculture</w:t>
      </w:r>
      <w:r w:rsidR="00BF46EA">
        <w:rPr>
          <w:rFonts w:ascii="Times New Roman" w:hAnsi="Times New Roman" w:cs="Times New Roman"/>
          <w:sz w:val="24"/>
          <w:szCs w:val="24"/>
        </w:rPr>
        <w:t xml:space="preserve"> and food production</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rural </w:t>
      </w:r>
      <w:r>
        <w:rPr>
          <w:rFonts w:ascii="Times New Roman" w:hAnsi="Times New Roman" w:cs="Times New Roman"/>
          <w:sz w:val="24"/>
          <w:szCs w:val="24"/>
        </w:rPr>
        <w:t xml:space="preserve">and industrial </w:t>
      </w:r>
      <w:r w:rsidRPr="005742F9">
        <w:rPr>
          <w:rFonts w:ascii="Times New Roman" w:hAnsi="Times New Roman" w:cs="Times New Roman"/>
          <w:sz w:val="24"/>
          <w:szCs w:val="24"/>
        </w:rPr>
        <w:t xml:space="preserve">development </w:t>
      </w:r>
      <w:r w:rsidR="00BF46EA">
        <w:rPr>
          <w:rFonts w:ascii="Times New Roman" w:hAnsi="Times New Roman" w:cs="Times New Roman"/>
          <w:sz w:val="24"/>
          <w:szCs w:val="24"/>
        </w:rPr>
        <w:t xml:space="preserve">and sustainable blue economy </w:t>
      </w:r>
      <w:r w:rsidRPr="005742F9">
        <w:rPr>
          <w:rFonts w:ascii="Times New Roman" w:hAnsi="Times New Roman" w:cs="Times New Roman"/>
          <w:sz w:val="24"/>
          <w:szCs w:val="24"/>
        </w:rPr>
        <w:t xml:space="preserve">will also help the beneficiaries to address the range of challenges and opportunities in this sector and strengthen the sustainable </w:t>
      </w:r>
      <w:r>
        <w:rPr>
          <w:rFonts w:ascii="Times New Roman" w:hAnsi="Times New Roman" w:cs="Times New Roman"/>
          <w:sz w:val="24"/>
          <w:szCs w:val="24"/>
        </w:rPr>
        <w:t xml:space="preserve">production and </w:t>
      </w:r>
      <w:r w:rsidRPr="005742F9">
        <w:rPr>
          <w:rFonts w:ascii="Times New Roman" w:hAnsi="Times New Roman" w:cs="Times New Roman"/>
          <w:sz w:val="24"/>
          <w:szCs w:val="24"/>
        </w:rPr>
        <w:t>management of natural resources, the overall competitiveness of the sector</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and the balanced territorial development of rural </w:t>
      </w:r>
      <w:r w:rsidR="00BF46EA">
        <w:rPr>
          <w:rFonts w:ascii="Times New Roman" w:hAnsi="Times New Roman" w:cs="Times New Roman"/>
          <w:sz w:val="24"/>
          <w:szCs w:val="24"/>
        </w:rPr>
        <w:t xml:space="preserve">and coastal </w:t>
      </w:r>
      <w:r w:rsidRPr="005742F9">
        <w:rPr>
          <w:rFonts w:ascii="Times New Roman" w:hAnsi="Times New Roman" w:cs="Times New Roman"/>
          <w:sz w:val="24"/>
          <w:szCs w:val="24"/>
        </w:rPr>
        <w:t xml:space="preserve">areas. </w:t>
      </w:r>
    </w:p>
    <w:p w14:paraId="7741C378" w14:textId="6FE7BF1D" w:rsidR="005739B7"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The Commission may request, at the time of project selection, to use an EU Integration Facility to address administrative </w:t>
      </w:r>
      <w:r>
        <w:rPr>
          <w:rFonts w:ascii="Times New Roman" w:hAnsi="Times New Roman" w:cs="Times New Roman"/>
          <w:sz w:val="24"/>
          <w:szCs w:val="24"/>
        </w:rPr>
        <w:t xml:space="preserve">and statistical </w:t>
      </w:r>
      <w:r w:rsidRPr="005742F9">
        <w:rPr>
          <w:rFonts w:ascii="Times New Roman" w:hAnsi="Times New Roman" w:cs="Times New Roman"/>
          <w:sz w:val="24"/>
          <w:szCs w:val="24"/>
        </w:rPr>
        <w:t>capacity development needs to accompany the selected actions in different sectors, which would allow for stand-alone actions in areas where further trade and economic integration is targeted.</w:t>
      </w:r>
    </w:p>
    <w:p w14:paraId="289BAF60" w14:textId="77777777" w:rsidR="00FE1162" w:rsidRDefault="00FE1162" w:rsidP="005739B7">
      <w:pPr>
        <w:spacing w:after="120" w:line="240" w:lineRule="auto"/>
        <w:jc w:val="both"/>
        <w:rPr>
          <w:rFonts w:ascii="Times New Roman" w:hAnsi="Times New Roman" w:cs="Times New Roman"/>
          <w:sz w:val="24"/>
          <w:szCs w:val="24"/>
        </w:rPr>
      </w:pPr>
    </w:p>
    <w:p w14:paraId="37429C28" w14:textId="77777777" w:rsidR="005739B7" w:rsidRPr="00F83B78" w:rsidRDefault="005739B7" w:rsidP="005739B7">
      <w:pPr>
        <w:spacing w:after="120" w:line="240" w:lineRule="auto"/>
        <w:jc w:val="both"/>
        <w:rPr>
          <w:rFonts w:ascii="Times New Roman" w:hAnsi="Times New Roman" w:cs="Times New Roman"/>
          <w:i/>
          <w:iCs/>
          <w:sz w:val="24"/>
          <w:szCs w:val="24"/>
        </w:rPr>
      </w:pPr>
      <w:r w:rsidRPr="005742F9">
        <w:rPr>
          <w:rFonts w:ascii="Times New Roman" w:hAnsi="Times New Roman" w:cs="Times New Roman"/>
          <w:i/>
          <w:iCs/>
          <w:sz w:val="24"/>
          <w:szCs w:val="24"/>
        </w:rPr>
        <w:t>Thematic Priority 1: Education, employment, social protection and inclusion policies, and health</w:t>
      </w:r>
    </w:p>
    <w:p w14:paraId="116D7610" w14:textId="3176584B"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The specific objective of IPA III in this area is to strengthen access to and quality of </w:t>
      </w:r>
      <w:r w:rsidR="00EC3288">
        <w:rPr>
          <w:rFonts w:ascii="Times New Roman" w:hAnsi="Times New Roman" w:cs="Times New Roman"/>
          <w:sz w:val="24"/>
          <w:szCs w:val="24"/>
        </w:rPr>
        <w:t xml:space="preserve">inclusive </w:t>
      </w:r>
      <w:r w:rsidRPr="005742F9">
        <w:rPr>
          <w:rFonts w:ascii="Times New Roman" w:hAnsi="Times New Roman" w:cs="Times New Roman"/>
          <w:sz w:val="24"/>
          <w:szCs w:val="24"/>
        </w:rPr>
        <w:t>education, including vocational education</w:t>
      </w:r>
      <w:r>
        <w:rPr>
          <w:rFonts w:ascii="Times New Roman" w:hAnsi="Times New Roman" w:cs="Times New Roman"/>
          <w:sz w:val="24"/>
          <w:szCs w:val="24"/>
        </w:rPr>
        <w:t xml:space="preserve"> and</w:t>
      </w:r>
      <w:r w:rsidRPr="005742F9">
        <w:rPr>
          <w:rFonts w:ascii="Times New Roman" w:hAnsi="Times New Roman" w:cs="Times New Roman"/>
          <w:sz w:val="24"/>
          <w:szCs w:val="24"/>
        </w:rPr>
        <w:t xml:space="preserve"> training</w:t>
      </w:r>
      <w:r>
        <w:rPr>
          <w:rFonts w:ascii="Times New Roman" w:hAnsi="Times New Roman" w:cs="Times New Roman"/>
          <w:sz w:val="24"/>
          <w:szCs w:val="24"/>
        </w:rPr>
        <w:t>, participation in Early Childhood Education and Care</w:t>
      </w:r>
      <w:r w:rsidRPr="005742F9">
        <w:rPr>
          <w:rFonts w:ascii="Times New Roman" w:hAnsi="Times New Roman" w:cs="Times New Roman"/>
          <w:sz w:val="24"/>
          <w:szCs w:val="24"/>
        </w:rPr>
        <w:t xml:space="preserve"> and lifelong learning opportunities at all levels</w:t>
      </w:r>
      <w:r>
        <w:rPr>
          <w:rFonts w:ascii="Times New Roman" w:hAnsi="Times New Roman" w:cs="Times New Roman"/>
          <w:sz w:val="24"/>
          <w:szCs w:val="24"/>
        </w:rPr>
        <w:t>. IPA III will also contribute to</w:t>
      </w:r>
      <w:r w:rsidRPr="005742F9">
        <w:rPr>
          <w:rFonts w:ascii="Times New Roman" w:hAnsi="Times New Roman" w:cs="Times New Roman"/>
          <w:sz w:val="24"/>
          <w:szCs w:val="24"/>
        </w:rPr>
        <w:t xml:space="preserve"> fostering quality employment and access to the labour market, reducing the proportion of </w:t>
      </w:r>
      <w:r>
        <w:rPr>
          <w:rFonts w:ascii="Times New Roman" w:hAnsi="Times New Roman" w:cs="Times New Roman"/>
          <w:sz w:val="24"/>
          <w:szCs w:val="24"/>
        </w:rPr>
        <w:t xml:space="preserve">people engaged in </w:t>
      </w:r>
      <w:r w:rsidRPr="005742F9">
        <w:rPr>
          <w:rFonts w:ascii="Times New Roman" w:hAnsi="Times New Roman" w:cs="Times New Roman"/>
          <w:sz w:val="24"/>
          <w:szCs w:val="24"/>
        </w:rPr>
        <w:t xml:space="preserve">informal employment as well as promoting </w:t>
      </w:r>
      <w:r>
        <w:rPr>
          <w:rFonts w:ascii="Times New Roman" w:hAnsi="Times New Roman" w:cs="Times New Roman"/>
          <w:sz w:val="24"/>
          <w:szCs w:val="24"/>
        </w:rPr>
        <w:t xml:space="preserve">equality and non-discrimination, </w:t>
      </w:r>
      <w:r w:rsidRPr="005742F9">
        <w:rPr>
          <w:rFonts w:ascii="Times New Roman" w:hAnsi="Times New Roman" w:cs="Times New Roman"/>
          <w:sz w:val="24"/>
          <w:szCs w:val="24"/>
        </w:rPr>
        <w:t xml:space="preserve">social protection and inclusion and combating poverty. </w:t>
      </w:r>
    </w:p>
    <w:p w14:paraId="2F56FAE3"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IPA III aims to support candidate countries and potential candidates to achieve high employment levels, fair social protection and a skilled and resilient workforce ready for the future world of work, in line with the principles set out in the European Pillar of Social Rights</w:t>
      </w:r>
      <w:r>
        <w:rPr>
          <w:rStyle w:val="DipnotBavurusu"/>
          <w:rFonts w:ascii="Times New Roman" w:hAnsi="Times New Roman" w:cs="Times New Roman"/>
          <w:sz w:val="24"/>
          <w:szCs w:val="24"/>
        </w:rPr>
        <w:footnoteReference w:id="40"/>
      </w:r>
      <w:r w:rsidRPr="005742F9">
        <w:rPr>
          <w:rFonts w:ascii="Times New Roman" w:hAnsi="Times New Roman" w:cs="Times New Roman"/>
          <w:sz w:val="24"/>
          <w:szCs w:val="24"/>
        </w:rPr>
        <w:t xml:space="preserve"> proclaimed by the European Parliament, the Council and the Commission on 17 November 2017. It </w:t>
      </w:r>
      <w:r>
        <w:rPr>
          <w:rFonts w:ascii="Times New Roman" w:hAnsi="Times New Roman" w:cs="Times New Roman"/>
          <w:sz w:val="24"/>
          <w:szCs w:val="24"/>
        </w:rPr>
        <w:t>will</w:t>
      </w:r>
      <w:r w:rsidRPr="005742F9">
        <w:rPr>
          <w:rFonts w:ascii="Times New Roman" w:hAnsi="Times New Roman" w:cs="Times New Roman"/>
          <w:sz w:val="24"/>
          <w:szCs w:val="24"/>
        </w:rPr>
        <w:t xml:space="preserve"> support, complement and add value to the policies of the IPA III beneficiaries to ensure equal opportunities, access to the labour market, fair working conditions, social protection and inclusion, and a high level of human health protection.</w:t>
      </w:r>
    </w:p>
    <w:p w14:paraId="36E39D59"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IPA III </w:t>
      </w:r>
      <w:r>
        <w:rPr>
          <w:rFonts w:ascii="Times New Roman" w:hAnsi="Times New Roman" w:cs="Times New Roman"/>
          <w:sz w:val="24"/>
          <w:szCs w:val="24"/>
        </w:rPr>
        <w:t>will</w:t>
      </w:r>
      <w:r w:rsidRPr="005742F9">
        <w:rPr>
          <w:rFonts w:ascii="Times New Roman" w:hAnsi="Times New Roman" w:cs="Times New Roman"/>
          <w:sz w:val="24"/>
          <w:szCs w:val="24"/>
        </w:rPr>
        <w:t xml:space="preserve"> support the quality, effectiveness and labour market relevance of education, including vocational education, and training systems in order to provide people with skills adjusted to digitalisation, technological change, innovation and economic change.</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It should </w:t>
      </w:r>
      <w:r>
        <w:rPr>
          <w:rFonts w:ascii="Times New Roman" w:hAnsi="Times New Roman" w:cs="Times New Roman"/>
          <w:sz w:val="24"/>
          <w:szCs w:val="24"/>
        </w:rPr>
        <w:t xml:space="preserve">in particular include </w:t>
      </w:r>
      <w:r w:rsidRPr="005742F9">
        <w:rPr>
          <w:rFonts w:ascii="Times New Roman" w:hAnsi="Times New Roman" w:cs="Times New Roman"/>
          <w:sz w:val="24"/>
          <w:szCs w:val="24"/>
        </w:rPr>
        <w:t xml:space="preserve">support </w:t>
      </w:r>
      <w:r>
        <w:rPr>
          <w:rFonts w:ascii="Times New Roman" w:hAnsi="Times New Roman" w:cs="Times New Roman"/>
          <w:sz w:val="24"/>
          <w:szCs w:val="24"/>
        </w:rPr>
        <w:t>to</w:t>
      </w:r>
      <w:r w:rsidRPr="005742F9">
        <w:rPr>
          <w:rFonts w:ascii="Times New Roman" w:hAnsi="Times New Roman" w:cs="Times New Roman"/>
          <w:sz w:val="24"/>
          <w:szCs w:val="24"/>
        </w:rPr>
        <w:t xml:space="preserve"> low-skilled and/or poorly qualified people. This implies mobilising a range of </w:t>
      </w:r>
      <w:r w:rsidRPr="004768D4">
        <w:rPr>
          <w:rFonts w:ascii="Times New Roman" w:hAnsi="Times New Roman" w:cs="Times New Roman"/>
          <w:sz w:val="24"/>
          <w:szCs w:val="24"/>
        </w:rPr>
        <w:t>public policies improving the governance and the financing of the</w:t>
      </w:r>
      <w:r>
        <w:rPr>
          <w:rFonts w:ascii="Times New Roman" w:hAnsi="Times New Roman" w:cs="Times New Roman"/>
          <w:sz w:val="24"/>
          <w:szCs w:val="24"/>
        </w:rPr>
        <w:t xml:space="preserve"> education systems and the inclusion</w:t>
      </w:r>
      <w:r w:rsidRPr="005742F9">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5742F9">
        <w:rPr>
          <w:rFonts w:ascii="Times New Roman" w:hAnsi="Times New Roman" w:cs="Times New Roman"/>
          <w:sz w:val="24"/>
          <w:szCs w:val="24"/>
        </w:rPr>
        <w:t>the most disadvantaged, including children and marginalised communities. IPA III will also continue to support</w:t>
      </w:r>
      <w:r>
        <w:rPr>
          <w:rFonts w:ascii="Times New Roman" w:hAnsi="Times New Roman" w:cs="Times New Roman"/>
          <w:sz w:val="24"/>
          <w:szCs w:val="24"/>
        </w:rPr>
        <w:t xml:space="preserve"> </w:t>
      </w:r>
      <w:r w:rsidRPr="00FE67CF">
        <w:rPr>
          <w:rFonts w:ascii="Times New Roman" w:hAnsi="Times New Roman" w:cs="Times New Roman"/>
          <w:sz w:val="24"/>
          <w:szCs w:val="24"/>
        </w:rPr>
        <w:t>reforms to improve the</w:t>
      </w:r>
      <w:r w:rsidRPr="00010675">
        <w:rPr>
          <w:rFonts w:ascii="Times New Roman" w:hAnsi="Times New Roman" w:cs="Times New Roman"/>
          <w:sz w:val="24"/>
          <w:szCs w:val="24"/>
        </w:rPr>
        <w:t xml:space="preserve"> governance </w:t>
      </w:r>
      <w:r>
        <w:rPr>
          <w:rFonts w:ascii="Times New Roman" w:hAnsi="Times New Roman" w:cs="Times New Roman"/>
          <w:sz w:val="24"/>
          <w:szCs w:val="24"/>
        </w:rPr>
        <w:t xml:space="preserve">and financing systems of the social policies and the education systems </w:t>
      </w:r>
      <w:r w:rsidRPr="005742F9">
        <w:rPr>
          <w:rFonts w:ascii="Times New Roman" w:hAnsi="Times New Roman" w:cs="Times New Roman"/>
          <w:sz w:val="24"/>
          <w:szCs w:val="24"/>
        </w:rPr>
        <w:t xml:space="preserve">with a view of fostering inter-sectoral cooperation. </w:t>
      </w:r>
    </w:p>
    <w:p w14:paraId="551832BA" w14:textId="6AFE880E"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IPA III will focus on improving the access to and the completion of quality </w:t>
      </w:r>
      <w:r w:rsidRPr="005742F9">
        <w:rPr>
          <w:rFonts w:ascii="Times New Roman" w:hAnsi="Times New Roman" w:cs="Times New Roman"/>
          <w:b/>
          <w:bCs/>
          <w:sz w:val="24"/>
          <w:szCs w:val="24"/>
        </w:rPr>
        <w:t>education</w:t>
      </w:r>
      <w:r w:rsidRPr="005742F9">
        <w:rPr>
          <w:rFonts w:ascii="Times New Roman" w:hAnsi="Times New Roman" w:cs="Times New Roman"/>
          <w:sz w:val="24"/>
          <w:szCs w:val="24"/>
        </w:rPr>
        <w:t xml:space="preserve"> with a greater focus on the training of teachers and school managers, governance and strategic policymaking. Women and girls are under-represented in the fields of Science, Technology, Engineering and Mathematics.</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IPA III will aim to address the different phases of education, from early childhood development, through to primary, secondary and tertiary education, including vocational training, and beyond to adult education and life-long learning, and in so doing, support access to the labour market. </w:t>
      </w:r>
      <w:r>
        <w:rPr>
          <w:rFonts w:ascii="Times New Roman" w:hAnsi="Times New Roman" w:cs="Times New Roman"/>
          <w:sz w:val="24"/>
          <w:szCs w:val="24"/>
        </w:rPr>
        <w:t>The region should work towards its inclusion</w:t>
      </w:r>
      <w:r w:rsidRPr="00B24ABC">
        <w:rPr>
          <w:rFonts w:ascii="Times New Roman" w:hAnsi="Times New Roman" w:cs="Times New Roman"/>
          <w:sz w:val="24"/>
          <w:szCs w:val="24"/>
        </w:rPr>
        <w:t xml:space="preserve"> in the European Education Area. </w:t>
      </w:r>
      <w:r>
        <w:rPr>
          <w:rFonts w:ascii="Times New Roman" w:hAnsi="Times New Roman" w:cs="Times New Roman"/>
          <w:sz w:val="24"/>
          <w:szCs w:val="24"/>
        </w:rPr>
        <w:t>There is a s</w:t>
      </w:r>
      <w:r w:rsidRPr="00B24ABC">
        <w:rPr>
          <w:rFonts w:ascii="Times New Roman" w:hAnsi="Times New Roman" w:cs="Times New Roman"/>
          <w:sz w:val="24"/>
          <w:szCs w:val="24"/>
        </w:rPr>
        <w:t>trong need for deeper cooperation in education across borders, disciplines and cultures to continue on the path of digital transformation in order to recover from the crisis and to build resilience.</w:t>
      </w:r>
      <w:r w:rsidR="00A65FE1">
        <w:rPr>
          <w:rFonts w:ascii="Times New Roman" w:hAnsi="Times New Roman" w:cs="Times New Roman"/>
          <w:sz w:val="24"/>
          <w:szCs w:val="24"/>
        </w:rPr>
        <w:t xml:space="preserve"> </w:t>
      </w:r>
      <w:r w:rsidRPr="006133B6">
        <w:rPr>
          <w:rFonts w:ascii="Times New Roman" w:hAnsi="Times New Roman" w:cs="Times New Roman"/>
          <w:sz w:val="24"/>
          <w:szCs w:val="24"/>
        </w:rPr>
        <w:t>Di</w:t>
      </w:r>
      <w:r>
        <w:rPr>
          <w:rFonts w:ascii="Times New Roman" w:hAnsi="Times New Roman" w:cs="Times New Roman"/>
          <w:sz w:val="24"/>
          <w:szCs w:val="24"/>
        </w:rPr>
        <w:t>agnoses of the education systems</w:t>
      </w:r>
      <w:r w:rsidRPr="006133B6">
        <w:rPr>
          <w:rFonts w:ascii="Times New Roman" w:hAnsi="Times New Roman" w:cs="Times New Roman"/>
          <w:sz w:val="24"/>
          <w:szCs w:val="24"/>
        </w:rPr>
        <w:t xml:space="preserve"> will aim at improving the quality and the effectiveness of IPA III spending on education in </w:t>
      </w:r>
      <w:r w:rsidR="00DB3E92">
        <w:rPr>
          <w:rFonts w:ascii="Times New Roman" w:hAnsi="Times New Roman" w:cs="Times New Roman"/>
          <w:sz w:val="24"/>
          <w:szCs w:val="24"/>
        </w:rPr>
        <w:t>IPA III beneficiaries</w:t>
      </w:r>
      <w:r w:rsidRPr="006133B6">
        <w:rPr>
          <w:rFonts w:ascii="Times New Roman" w:hAnsi="Times New Roman" w:cs="Times New Roman"/>
          <w:sz w:val="24"/>
          <w:szCs w:val="24"/>
        </w:rPr>
        <w:t xml:space="preserve">. These diagnoses will also serve as a basis for the </w:t>
      </w:r>
      <w:r>
        <w:rPr>
          <w:rFonts w:ascii="Times New Roman" w:hAnsi="Times New Roman" w:cs="Times New Roman"/>
          <w:sz w:val="24"/>
          <w:szCs w:val="24"/>
        </w:rPr>
        <w:t>beneficiaries</w:t>
      </w:r>
      <w:r w:rsidRPr="006133B6">
        <w:rPr>
          <w:rFonts w:ascii="Times New Roman" w:hAnsi="Times New Roman" w:cs="Times New Roman"/>
          <w:sz w:val="24"/>
          <w:szCs w:val="24"/>
        </w:rPr>
        <w:t xml:space="preserve"> to develop multi-year sector plans aimed at improving the outcomes of spending on education by taking informed decisions on</w:t>
      </w:r>
      <w:r>
        <w:rPr>
          <w:rFonts w:ascii="Times New Roman" w:hAnsi="Times New Roman" w:cs="Times New Roman"/>
          <w:sz w:val="24"/>
          <w:szCs w:val="24"/>
        </w:rPr>
        <w:t xml:space="preserve"> the allocation of resources. It will also strengthen</w:t>
      </w:r>
      <w:r w:rsidRPr="006133B6">
        <w:rPr>
          <w:rFonts w:ascii="Times New Roman" w:hAnsi="Times New Roman" w:cs="Times New Roman"/>
          <w:sz w:val="24"/>
          <w:szCs w:val="24"/>
        </w:rPr>
        <w:t xml:space="preserve"> the governance of the education systems.</w:t>
      </w:r>
    </w:p>
    <w:p w14:paraId="1C5EE9C8" w14:textId="2BCEE3B6"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In the </w:t>
      </w:r>
      <w:r w:rsidRPr="005742F9">
        <w:rPr>
          <w:rFonts w:ascii="Times New Roman" w:hAnsi="Times New Roman" w:cs="Times New Roman"/>
          <w:b/>
          <w:bCs/>
          <w:sz w:val="24"/>
          <w:szCs w:val="24"/>
        </w:rPr>
        <w:t>social sectors</w:t>
      </w:r>
      <w:r w:rsidRPr="005742F9">
        <w:rPr>
          <w:rFonts w:ascii="Times New Roman" w:hAnsi="Times New Roman" w:cs="Times New Roman"/>
          <w:sz w:val="24"/>
          <w:szCs w:val="24"/>
        </w:rPr>
        <w:t xml:space="preserve">, reforms and modernisation of the legal and regulatory frameworks should continue in order to modernise </w:t>
      </w:r>
      <w:r w:rsidRPr="005742F9">
        <w:rPr>
          <w:rFonts w:ascii="Times New Roman" w:hAnsi="Times New Roman" w:cs="Times New Roman"/>
          <w:b/>
          <w:bCs/>
          <w:sz w:val="24"/>
          <w:szCs w:val="24"/>
        </w:rPr>
        <w:t>employment</w:t>
      </w:r>
      <w:r w:rsidRPr="005742F9">
        <w:rPr>
          <w:rFonts w:ascii="Times New Roman" w:hAnsi="Times New Roman" w:cs="Times New Roman"/>
          <w:sz w:val="24"/>
          <w:szCs w:val="24"/>
        </w:rPr>
        <w:t xml:space="preserve"> policies</w:t>
      </w:r>
      <w:r>
        <w:rPr>
          <w:rFonts w:ascii="Times New Roman" w:hAnsi="Times New Roman" w:cs="Times New Roman"/>
          <w:sz w:val="24"/>
          <w:szCs w:val="24"/>
        </w:rPr>
        <w:t xml:space="preserve"> and employment-related social insurance systems, which provide incentives for formal employment relations</w:t>
      </w:r>
      <w:r w:rsidRPr="005742F9">
        <w:rPr>
          <w:rFonts w:ascii="Times New Roman" w:hAnsi="Times New Roman" w:cs="Times New Roman"/>
          <w:sz w:val="24"/>
          <w:szCs w:val="24"/>
        </w:rPr>
        <w:t>.</w:t>
      </w:r>
      <w:r>
        <w:rPr>
          <w:rFonts w:ascii="Times New Roman" w:hAnsi="Times New Roman" w:cs="Times New Roman"/>
          <w:sz w:val="24"/>
          <w:szCs w:val="24"/>
        </w:rPr>
        <w:t xml:space="preserve"> This should also take into account the changing nature of work and skills in the digital age. Such policies should also address the challenges brought by the outbreak of the COVID-19 pandemic.</w:t>
      </w:r>
      <w:r w:rsidRPr="005742F9">
        <w:rPr>
          <w:rFonts w:ascii="Times New Roman" w:hAnsi="Times New Roman" w:cs="Times New Roman"/>
          <w:sz w:val="24"/>
          <w:szCs w:val="24"/>
        </w:rPr>
        <w:t xml:space="preserve"> Actions focused on developing flexible economies and work force will be supported. Attention will be placed upon building strong links to the education sector and in developing a broad range of active labour market measures, for increasing labour market participation and employment in particular for youth, women and people further away from the labour market. </w:t>
      </w:r>
      <w:r>
        <w:rPr>
          <w:rFonts w:ascii="Times New Roman" w:hAnsi="Times New Roman" w:cs="Times New Roman"/>
          <w:sz w:val="24"/>
          <w:szCs w:val="24"/>
        </w:rPr>
        <w:t xml:space="preserve">More focus will be given to the development of on-the-job training, re-skilling and up-skilling active labour market measures as well as adult remedial education. </w:t>
      </w:r>
      <w:r w:rsidRPr="005742F9">
        <w:rPr>
          <w:rFonts w:ascii="Times New Roman" w:hAnsi="Times New Roman" w:cs="Times New Roman"/>
          <w:sz w:val="24"/>
          <w:szCs w:val="24"/>
        </w:rPr>
        <w:t>Attention will also be given to reducing the wage gap and</w:t>
      </w:r>
      <w:r w:rsidR="006C1F2B">
        <w:rPr>
          <w:rFonts w:ascii="Times New Roman" w:hAnsi="Times New Roman" w:cs="Times New Roman"/>
          <w:sz w:val="24"/>
          <w:szCs w:val="24"/>
        </w:rPr>
        <w:t xml:space="preserve"> gender discrimination, which are</w:t>
      </w:r>
      <w:r w:rsidRPr="005742F9">
        <w:rPr>
          <w:rFonts w:ascii="Times New Roman" w:hAnsi="Times New Roman" w:cs="Times New Roman"/>
          <w:sz w:val="24"/>
          <w:szCs w:val="24"/>
        </w:rPr>
        <w:t xml:space="preserve"> more pronounced in the private sector. The</w:t>
      </w:r>
      <w:r>
        <w:rPr>
          <w:rFonts w:ascii="Times New Roman" w:hAnsi="Times New Roman" w:cs="Times New Roman"/>
          <w:sz w:val="24"/>
          <w:szCs w:val="24"/>
        </w:rPr>
        <w:t xml:space="preserve"> equal</w:t>
      </w:r>
      <w:r w:rsidRPr="005742F9">
        <w:rPr>
          <w:rFonts w:ascii="Times New Roman" w:hAnsi="Times New Roman" w:cs="Times New Roman"/>
          <w:sz w:val="24"/>
          <w:szCs w:val="24"/>
        </w:rPr>
        <w:t xml:space="preserve"> access to finance for microenterprises, social economy and social enterprises should be facilitated for business creation especially among people furthest from the labour market. Social dialogue, consultation of social partners and civil society organisations should be enhanced and their capacities strengthened in order to guarantee inclusive reforms for employment and social policies anticipating and accompanying the impact of digitalisation on the labour market. </w:t>
      </w:r>
    </w:p>
    <w:p w14:paraId="003B59D4" w14:textId="18214321" w:rsidR="005739B7" w:rsidRPr="005742F9" w:rsidRDefault="005739B7" w:rsidP="00EC3288">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IPA III will support the development </w:t>
      </w:r>
      <w:r w:rsidR="00437D60">
        <w:rPr>
          <w:rFonts w:ascii="Times New Roman" w:hAnsi="Times New Roman" w:cs="Times New Roman"/>
          <w:sz w:val="24"/>
          <w:szCs w:val="24"/>
        </w:rPr>
        <w:t>and</w:t>
      </w:r>
      <w:r w:rsidR="00EC3288">
        <w:rPr>
          <w:rFonts w:ascii="Times New Roman" w:hAnsi="Times New Roman" w:cs="Times New Roman"/>
          <w:sz w:val="24"/>
          <w:szCs w:val="24"/>
        </w:rPr>
        <w:t xml:space="preserve"> modernisation </w:t>
      </w:r>
      <w:r w:rsidRPr="005742F9">
        <w:rPr>
          <w:rFonts w:ascii="Times New Roman" w:hAnsi="Times New Roman" w:cs="Times New Roman"/>
          <w:sz w:val="24"/>
          <w:szCs w:val="24"/>
        </w:rPr>
        <w:t xml:space="preserve">of </w:t>
      </w:r>
      <w:r w:rsidRPr="005742F9">
        <w:rPr>
          <w:rFonts w:ascii="Times New Roman" w:hAnsi="Times New Roman" w:cs="Times New Roman"/>
          <w:b/>
          <w:bCs/>
          <w:sz w:val="24"/>
          <w:szCs w:val="24"/>
        </w:rPr>
        <w:t xml:space="preserve">social protection </w:t>
      </w:r>
      <w:r w:rsidR="00EC3288">
        <w:rPr>
          <w:rFonts w:ascii="Times New Roman" w:hAnsi="Times New Roman" w:cs="Times New Roman"/>
          <w:b/>
          <w:bCs/>
          <w:sz w:val="24"/>
          <w:szCs w:val="24"/>
        </w:rPr>
        <w:t xml:space="preserve">systems </w:t>
      </w:r>
      <w:r w:rsidRPr="005742F9">
        <w:rPr>
          <w:rFonts w:ascii="Times New Roman" w:hAnsi="Times New Roman" w:cs="Times New Roman"/>
          <w:b/>
          <w:bCs/>
          <w:sz w:val="24"/>
          <w:szCs w:val="24"/>
        </w:rPr>
        <w:t>and inclusion</w:t>
      </w:r>
      <w:r w:rsidRPr="005742F9">
        <w:rPr>
          <w:rFonts w:ascii="Times New Roman" w:hAnsi="Times New Roman" w:cs="Times New Roman"/>
          <w:sz w:val="24"/>
          <w:szCs w:val="24"/>
        </w:rPr>
        <w:t xml:space="preserve"> policies</w:t>
      </w:r>
      <w:r>
        <w:rPr>
          <w:rFonts w:ascii="Times New Roman" w:hAnsi="Times New Roman" w:cs="Times New Roman"/>
          <w:sz w:val="24"/>
          <w:szCs w:val="24"/>
        </w:rPr>
        <w:t xml:space="preserve"> </w:t>
      </w:r>
      <w:r w:rsidR="00EC3288">
        <w:rPr>
          <w:rFonts w:ascii="Times New Roman" w:hAnsi="Times New Roman" w:cs="Times New Roman"/>
          <w:sz w:val="24"/>
          <w:szCs w:val="24"/>
        </w:rPr>
        <w:t xml:space="preserve">as well as </w:t>
      </w:r>
      <w:r>
        <w:rPr>
          <w:rFonts w:ascii="Times New Roman" w:hAnsi="Times New Roman" w:cs="Times New Roman"/>
          <w:sz w:val="24"/>
          <w:szCs w:val="24"/>
        </w:rPr>
        <w:t>sustainable financing mechanisms of these, including health insurance and unemployment benefits</w:t>
      </w:r>
      <w:r w:rsidRPr="005742F9">
        <w:rPr>
          <w:rFonts w:ascii="Times New Roman" w:hAnsi="Times New Roman" w:cs="Times New Roman"/>
          <w:sz w:val="24"/>
          <w:szCs w:val="24"/>
        </w:rPr>
        <w:t xml:space="preserve">. </w:t>
      </w:r>
      <w:r>
        <w:rPr>
          <w:rFonts w:ascii="Times New Roman" w:hAnsi="Times New Roman" w:cs="Times New Roman"/>
          <w:sz w:val="24"/>
          <w:szCs w:val="24"/>
        </w:rPr>
        <w:t>An assessment of the public policies and a public expenditure review in these areas would enhance their effectiveness. Targeted policies to enhance social cohesion will be needed also in the context of COVID-19 recovery. The governance of public expenditure should also be improved in order to increase the impact of social policies.</w:t>
      </w:r>
      <w:r w:rsidRPr="005742F9">
        <w:rPr>
          <w:rFonts w:ascii="Times New Roman" w:hAnsi="Times New Roman" w:cs="Times New Roman"/>
          <w:sz w:val="24"/>
          <w:szCs w:val="24"/>
        </w:rPr>
        <w:t xml:space="preserve"> In that context, financial assistance will work to solidify community-based services with a particular emphasis on child-protection systems and other social services</w:t>
      </w:r>
      <w:r w:rsidR="00EC3288">
        <w:rPr>
          <w:rFonts w:ascii="Times New Roman" w:hAnsi="Times New Roman" w:cs="Times New Roman"/>
          <w:sz w:val="24"/>
          <w:szCs w:val="24"/>
        </w:rPr>
        <w:t xml:space="preserve">, </w:t>
      </w:r>
      <w:r w:rsidR="00EC3288" w:rsidRPr="00EC3288">
        <w:rPr>
          <w:rFonts w:ascii="Times New Roman" w:hAnsi="Times New Roman" w:cs="Times New Roman"/>
          <w:sz w:val="24"/>
          <w:szCs w:val="24"/>
        </w:rPr>
        <w:t>including the transition from institutional to</w:t>
      </w:r>
      <w:r w:rsidR="00EC3288">
        <w:rPr>
          <w:rFonts w:ascii="Times New Roman" w:hAnsi="Times New Roman" w:cs="Times New Roman"/>
          <w:sz w:val="24"/>
          <w:szCs w:val="24"/>
        </w:rPr>
        <w:t xml:space="preserve"> </w:t>
      </w:r>
      <w:r w:rsidR="00EC3288" w:rsidRPr="00EC3288">
        <w:rPr>
          <w:rFonts w:ascii="Times New Roman" w:hAnsi="Times New Roman" w:cs="Times New Roman"/>
          <w:sz w:val="24"/>
          <w:szCs w:val="24"/>
        </w:rPr>
        <w:t>family- and community-based care</w:t>
      </w:r>
      <w:r w:rsidRPr="005742F9">
        <w:rPr>
          <w:rFonts w:ascii="Times New Roman" w:hAnsi="Times New Roman" w:cs="Times New Roman"/>
          <w:sz w:val="24"/>
          <w:szCs w:val="24"/>
        </w:rPr>
        <w:t xml:space="preserve"> Therefore, IPA III assistance will endeavour to further the development of social entrepreneurship in line with EU standards helping to create both societal and economic benefits. </w:t>
      </w:r>
    </w:p>
    <w:p w14:paraId="7FF1C805" w14:textId="0F9110C3" w:rsidR="005739B7"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IPA III will focus on enhanced employment opportunities for </w:t>
      </w:r>
      <w:r w:rsidRPr="005742F9">
        <w:rPr>
          <w:rFonts w:ascii="Times New Roman" w:hAnsi="Times New Roman"/>
          <w:b/>
          <w:bCs/>
          <w:sz w:val="24"/>
          <w:szCs w:val="24"/>
        </w:rPr>
        <w:t>women, youth and persons with disabilities</w:t>
      </w:r>
      <w:r w:rsidRPr="005742F9">
        <w:rPr>
          <w:rFonts w:ascii="Times New Roman" w:hAnsi="Times New Roman" w:cs="Times New Roman"/>
          <w:sz w:val="24"/>
          <w:szCs w:val="24"/>
        </w:rPr>
        <w:t xml:space="preserve">, in addition to addressing social and employment issues for minorities, including Roma communities. Financial assistance will aim to make tangible improvements </w:t>
      </w:r>
      <w:r w:rsidR="002B6E0C">
        <w:rPr>
          <w:rFonts w:ascii="Times New Roman" w:hAnsi="Times New Roman" w:cs="Times New Roman"/>
          <w:sz w:val="24"/>
          <w:szCs w:val="24"/>
        </w:rPr>
        <w:t xml:space="preserve">regarding access to affordable, </w:t>
      </w:r>
      <w:r w:rsidR="00EC3288">
        <w:rPr>
          <w:rFonts w:ascii="Times New Roman" w:hAnsi="Times New Roman" w:cs="Times New Roman"/>
          <w:sz w:val="24"/>
          <w:szCs w:val="24"/>
        </w:rPr>
        <w:t>inclusive and non-segregated</w:t>
      </w:r>
      <w:r w:rsidRPr="005742F9">
        <w:rPr>
          <w:rFonts w:ascii="Times New Roman" w:hAnsi="Times New Roman" w:cs="Times New Roman"/>
          <w:sz w:val="24"/>
          <w:szCs w:val="24"/>
        </w:rPr>
        <w:t xml:space="preserve"> housing, education, legal aid, health and social protection for these vulnerable and minority groups, including </w:t>
      </w:r>
      <w:r w:rsidR="002B6E0C">
        <w:rPr>
          <w:rFonts w:ascii="Times New Roman" w:hAnsi="Times New Roman" w:cs="Times New Roman"/>
          <w:sz w:val="24"/>
          <w:szCs w:val="24"/>
        </w:rPr>
        <w:t xml:space="preserve">refugees. It will also </w:t>
      </w:r>
      <w:r w:rsidRPr="005742F9">
        <w:rPr>
          <w:rFonts w:ascii="Times New Roman" w:hAnsi="Times New Roman" w:cs="Times New Roman"/>
          <w:sz w:val="24"/>
          <w:szCs w:val="24"/>
        </w:rPr>
        <w:t xml:space="preserve">address the needs of </w:t>
      </w:r>
      <w:r w:rsidR="00EC3288">
        <w:rPr>
          <w:rFonts w:ascii="Times New Roman" w:hAnsi="Times New Roman" w:cs="Times New Roman"/>
          <w:sz w:val="24"/>
          <w:szCs w:val="24"/>
        </w:rPr>
        <w:t xml:space="preserve">marginalised </w:t>
      </w:r>
      <w:r w:rsidRPr="005742F9">
        <w:rPr>
          <w:rFonts w:ascii="Times New Roman" w:hAnsi="Times New Roman" w:cs="Times New Roman"/>
          <w:sz w:val="24"/>
          <w:szCs w:val="24"/>
        </w:rPr>
        <w:t>communities</w:t>
      </w:r>
      <w:r w:rsidR="00EC3288">
        <w:rPr>
          <w:rFonts w:ascii="Times New Roman" w:hAnsi="Times New Roman" w:cs="Times New Roman"/>
          <w:sz w:val="24"/>
          <w:szCs w:val="24"/>
        </w:rPr>
        <w:t>, communities</w:t>
      </w:r>
      <w:r w:rsidRPr="005742F9">
        <w:rPr>
          <w:rFonts w:ascii="Times New Roman" w:hAnsi="Times New Roman" w:cs="Times New Roman"/>
          <w:sz w:val="24"/>
          <w:szCs w:val="24"/>
        </w:rPr>
        <w:t xml:space="preserve"> living in remote or less economically developed regions and peripheral rural areas. </w:t>
      </w:r>
    </w:p>
    <w:p w14:paraId="799355E2" w14:textId="4F89E93E"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IPA III </w:t>
      </w:r>
      <w:r w:rsidR="00EC3642">
        <w:rPr>
          <w:rFonts w:ascii="Times New Roman" w:hAnsi="Times New Roman" w:cs="Times New Roman"/>
          <w:sz w:val="24"/>
          <w:szCs w:val="24"/>
        </w:rPr>
        <w:t xml:space="preserve">will </w:t>
      </w:r>
      <w:r w:rsidR="0050603E">
        <w:rPr>
          <w:rFonts w:ascii="Times New Roman" w:hAnsi="Times New Roman" w:cs="Times New Roman"/>
          <w:sz w:val="24"/>
          <w:szCs w:val="24"/>
        </w:rPr>
        <w:t xml:space="preserve">also </w:t>
      </w:r>
      <w:r w:rsidR="00EC3642">
        <w:rPr>
          <w:rFonts w:ascii="Times New Roman" w:hAnsi="Times New Roman" w:cs="Times New Roman"/>
          <w:sz w:val="24"/>
          <w:szCs w:val="24"/>
        </w:rPr>
        <w:t>support</w:t>
      </w:r>
      <w:r w:rsidRPr="005742F9">
        <w:rPr>
          <w:rFonts w:ascii="Times New Roman" w:hAnsi="Times New Roman" w:cs="Times New Roman"/>
          <w:sz w:val="24"/>
          <w:szCs w:val="24"/>
        </w:rPr>
        <w:t xml:space="preserve">, where appropriate, </w:t>
      </w:r>
      <w:r w:rsidR="00EC3642">
        <w:rPr>
          <w:rFonts w:ascii="Times New Roman" w:hAnsi="Times New Roman" w:cs="Times New Roman"/>
          <w:sz w:val="24"/>
          <w:szCs w:val="24"/>
        </w:rPr>
        <w:t xml:space="preserve">the alignment with and implementation of EU </w:t>
      </w:r>
      <w:r w:rsidR="00EC3642">
        <w:rPr>
          <w:rFonts w:ascii="Times New Roman" w:hAnsi="Times New Roman" w:cs="Times New Roman"/>
          <w:i/>
          <w:sz w:val="24"/>
          <w:szCs w:val="24"/>
        </w:rPr>
        <w:t xml:space="preserve">acquis </w:t>
      </w:r>
      <w:r w:rsidR="0050603E" w:rsidRPr="0043109D">
        <w:rPr>
          <w:rFonts w:ascii="Times New Roman" w:hAnsi="Times New Roman" w:cs="Times New Roman"/>
          <w:sz w:val="24"/>
          <w:szCs w:val="24"/>
        </w:rPr>
        <w:t>in the field of public health, including</w:t>
      </w:r>
      <w:r w:rsidR="0050603E">
        <w:rPr>
          <w:rFonts w:ascii="Times New Roman" w:hAnsi="Times New Roman" w:cs="Times New Roman"/>
          <w:i/>
          <w:sz w:val="24"/>
          <w:szCs w:val="24"/>
        </w:rPr>
        <w:t xml:space="preserve"> </w:t>
      </w:r>
      <w:r w:rsidR="00EC3642">
        <w:rPr>
          <w:rFonts w:ascii="Times New Roman" w:hAnsi="Times New Roman" w:cs="Times New Roman"/>
          <w:sz w:val="24"/>
          <w:szCs w:val="24"/>
        </w:rPr>
        <w:t xml:space="preserve">on health security. It should also </w:t>
      </w:r>
      <w:r w:rsidRPr="005742F9">
        <w:rPr>
          <w:rFonts w:ascii="Times New Roman" w:hAnsi="Times New Roman" w:cs="Times New Roman"/>
          <w:sz w:val="24"/>
          <w:szCs w:val="24"/>
        </w:rPr>
        <w:t>contribut</w:t>
      </w:r>
      <w:r>
        <w:rPr>
          <w:rFonts w:ascii="Times New Roman" w:hAnsi="Times New Roman" w:cs="Times New Roman"/>
          <w:sz w:val="24"/>
          <w:szCs w:val="24"/>
        </w:rPr>
        <w:t>e</w:t>
      </w:r>
      <w:r w:rsidRPr="005742F9">
        <w:rPr>
          <w:rFonts w:ascii="Times New Roman" w:hAnsi="Times New Roman" w:cs="Times New Roman"/>
          <w:sz w:val="24"/>
          <w:szCs w:val="24"/>
        </w:rPr>
        <w:t xml:space="preserve"> to </w:t>
      </w:r>
      <w:r w:rsidRPr="00EC3642">
        <w:rPr>
          <w:rFonts w:ascii="Times New Roman" w:hAnsi="Times New Roman" w:cs="Times New Roman"/>
          <w:sz w:val="24"/>
          <w:szCs w:val="24"/>
        </w:rPr>
        <w:t>health systems</w:t>
      </w:r>
      <w:r w:rsidRPr="005742F9">
        <w:rPr>
          <w:rFonts w:ascii="Times New Roman" w:hAnsi="Times New Roman" w:cs="Times New Roman"/>
          <w:sz w:val="24"/>
          <w:szCs w:val="24"/>
        </w:rPr>
        <w:t xml:space="preserve"> reforms</w:t>
      </w:r>
      <w:r>
        <w:rPr>
          <w:rFonts w:ascii="Times New Roman" w:hAnsi="Times New Roman" w:cs="Times New Roman"/>
          <w:sz w:val="24"/>
          <w:szCs w:val="24"/>
        </w:rPr>
        <w:t xml:space="preserve"> </w:t>
      </w:r>
      <w:r w:rsidRPr="005742F9">
        <w:rPr>
          <w:rFonts w:ascii="Times New Roman" w:hAnsi="Times New Roman" w:cs="Times New Roman"/>
          <w:sz w:val="24"/>
          <w:szCs w:val="24"/>
        </w:rPr>
        <w:t>with regard to raising the coverage and standards of care provided to the population as a whole</w:t>
      </w:r>
      <w:r w:rsidR="00E44514">
        <w:rPr>
          <w:rFonts w:ascii="Times New Roman" w:hAnsi="Times New Roman" w:cs="Times New Roman"/>
          <w:sz w:val="24"/>
          <w:szCs w:val="24"/>
        </w:rPr>
        <w:t xml:space="preserve"> while paying attention to the elderly and people belonging to vulnerable groups</w:t>
      </w:r>
      <w:r w:rsidRPr="005742F9">
        <w:rPr>
          <w:rFonts w:ascii="Times New Roman" w:hAnsi="Times New Roman" w:cs="Times New Roman"/>
          <w:sz w:val="24"/>
          <w:szCs w:val="24"/>
        </w:rPr>
        <w:t>.</w:t>
      </w:r>
      <w:r>
        <w:rPr>
          <w:rFonts w:ascii="Times New Roman" w:hAnsi="Times New Roman" w:cs="Times New Roman"/>
          <w:sz w:val="24"/>
          <w:szCs w:val="24"/>
        </w:rPr>
        <w:t xml:space="preserve"> </w:t>
      </w:r>
      <w:r w:rsidRPr="00BF55F7">
        <w:rPr>
          <w:rFonts w:ascii="Times New Roman" w:hAnsi="Times New Roman" w:cs="Times New Roman"/>
          <w:sz w:val="24"/>
          <w:szCs w:val="24"/>
        </w:rPr>
        <w:t>In addition, in light of lessons learnt</w:t>
      </w:r>
      <w:r>
        <w:rPr>
          <w:rFonts w:ascii="Times New Roman" w:hAnsi="Times New Roman" w:cs="Times New Roman"/>
          <w:sz w:val="24"/>
          <w:szCs w:val="24"/>
        </w:rPr>
        <w:t xml:space="preserve"> from tackling the COVID-19 pandemic, IPA III will support beneficiaries in strengthening their public health systems preparedness and resilience to cross-border health threats.</w:t>
      </w:r>
    </w:p>
    <w:p w14:paraId="2452C740" w14:textId="72A0036E" w:rsidR="005739B7" w:rsidRDefault="005739B7" w:rsidP="005739B7">
      <w:p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 xml:space="preserve">The main concerned chapters of the </w:t>
      </w:r>
      <w:r>
        <w:rPr>
          <w:rFonts w:ascii="Times New Roman" w:eastAsia="Calibri" w:hAnsi="Times New Roman" w:cs="Times New Roman"/>
          <w:sz w:val="24"/>
          <w:szCs w:val="24"/>
        </w:rPr>
        <w:t xml:space="preserve">EU </w:t>
      </w:r>
      <w:r w:rsidRPr="005742F9">
        <w:rPr>
          <w:rFonts w:ascii="Times New Roman" w:eastAsia="Calibri" w:hAnsi="Times New Roman" w:cs="Times New Roman"/>
          <w:i/>
          <w:iCs/>
          <w:sz w:val="24"/>
          <w:szCs w:val="24"/>
        </w:rPr>
        <w:t xml:space="preserve">acquis </w:t>
      </w:r>
      <w:r w:rsidRPr="005742F9">
        <w:rPr>
          <w:rFonts w:ascii="Times New Roman" w:eastAsia="Calibri" w:hAnsi="Times New Roman" w:cs="Times New Roman"/>
          <w:sz w:val="24"/>
          <w:szCs w:val="24"/>
        </w:rPr>
        <w:t>under this section are chapter 19 (Social policy and employment), chapter 26 (Education and culture) and chapter 28 (Consumer and health protection)</w:t>
      </w:r>
      <w:r w:rsidR="00672CD3">
        <w:rPr>
          <w:rFonts w:ascii="Times New Roman" w:eastAsia="Calibri" w:hAnsi="Times New Roman" w:cs="Times New Roman"/>
          <w:sz w:val="24"/>
          <w:szCs w:val="24"/>
        </w:rPr>
        <w:t>, distributed in clusters 2 (Internal Market) and 3 (Competitiveness and Inclusive Growth)</w:t>
      </w:r>
      <w:r w:rsidRPr="005742F9">
        <w:rPr>
          <w:rFonts w:ascii="Times New Roman" w:eastAsia="Calibri" w:hAnsi="Times New Roman" w:cs="Times New Roman"/>
          <w:sz w:val="24"/>
          <w:szCs w:val="24"/>
        </w:rPr>
        <w:t>.</w:t>
      </w:r>
    </w:p>
    <w:p w14:paraId="56499A20" w14:textId="77777777" w:rsidR="00FE1162" w:rsidRDefault="00FE1162" w:rsidP="005739B7">
      <w:pPr>
        <w:spacing w:after="120" w:line="240" w:lineRule="auto"/>
        <w:jc w:val="both"/>
        <w:rPr>
          <w:rFonts w:ascii="Times New Roman" w:eastAsia="Calibri" w:hAnsi="Times New Roman" w:cs="Times New Roman"/>
          <w:sz w:val="24"/>
          <w:szCs w:val="24"/>
        </w:rPr>
      </w:pPr>
    </w:p>
    <w:p w14:paraId="16B29761" w14:textId="551308E8" w:rsidR="005739B7" w:rsidRPr="00C03C2F" w:rsidRDefault="005739B7" w:rsidP="005739B7">
      <w:pPr>
        <w:spacing w:after="120" w:line="240" w:lineRule="auto"/>
        <w:jc w:val="both"/>
        <w:rPr>
          <w:rFonts w:ascii="Times New Roman" w:hAnsi="Times New Roman" w:cs="Times New Roman"/>
          <w:i/>
          <w:iCs/>
          <w:sz w:val="24"/>
          <w:szCs w:val="24"/>
        </w:rPr>
      </w:pPr>
      <w:r w:rsidRPr="005742F9">
        <w:rPr>
          <w:rFonts w:ascii="Times New Roman" w:hAnsi="Times New Roman" w:cs="Times New Roman"/>
          <w:i/>
          <w:iCs/>
          <w:sz w:val="24"/>
          <w:szCs w:val="24"/>
        </w:rPr>
        <w:t>Thematic Priority 2: Private sector development, trade, research and innovation</w:t>
      </w:r>
    </w:p>
    <w:p w14:paraId="5C660F65"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The specific objective of IPA III in this area is to improve the business environment</w:t>
      </w:r>
      <w:r>
        <w:rPr>
          <w:rFonts w:ascii="Times New Roman" w:hAnsi="Times New Roman" w:cs="Times New Roman"/>
          <w:sz w:val="24"/>
          <w:szCs w:val="24"/>
        </w:rPr>
        <w:t>, innovation ecosystem</w:t>
      </w:r>
      <w:r w:rsidRPr="005742F9">
        <w:rPr>
          <w:rFonts w:ascii="Times New Roman" w:hAnsi="Times New Roman" w:cs="Times New Roman"/>
          <w:sz w:val="24"/>
          <w:szCs w:val="24"/>
        </w:rPr>
        <w:t xml:space="preserve"> and investment climate of the beneficiar</w:t>
      </w:r>
      <w:r>
        <w:rPr>
          <w:rFonts w:ascii="Times New Roman" w:hAnsi="Times New Roman" w:cs="Times New Roman"/>
          <w:sz w:val="24"/>
          <w:szCs w:val="24"/>
        </w:rPr>
        <w:t>ies</w:t>
      </w:r>
      <w:r w:rsidRPr="005742F9">
        <w:rPr>
          <w:rFonts w:ascii="Times New Roman" w:hAnsi="Times New Roman" w:cs="Times New Roman"/>
          <w:sz w:val="24"/>
          <w:szCs w:val="24"/>
        </w:rPr>
        <w:t>,</w:t>
      </w:r>
      <w:r>
        <w:rPr>
          <w:rFonts w:ascii="Times New Roman" w:hAnsi="Times New Roman" w:cs="Times New Roman"/>
          <w:sz w:val="24"/>
          <w:szCs w:val="24"/>
        </w:rPr>
        <w:t xml:space="preserve"> promoting integration with EU industrial value chains,</w:t>
      </w:r>
      <w:r w:rsidRPr="005742F9">
        <w:rPr>
          <w:rFonts w:ascii="Times New Roman" w:hAnsi="Times New Roman" w:cs="Times New Roman"/>
          <w:sz w:val="24"/>
          <w:szCs w:val="24"/>
        </w:rPr>
        <w:t xml:space="preserve"> in view of</w:t>
      </w:r>
      <w:r>
        <w:rPr>
          <w:rFonts w:ascii="Times New Roman" w:hAnsi="Times New Roman" w:cs="Times New Roman"/>
          <w:sz w:val="24"/>
          <w:szCs w:val="24"/>
        </w:rPr>
        <w:t xml:space="preserve"> supporting the socio-economic recovery after the COVID-19 pandemic and</w:t>
      </w:r>
      <w:r w:rsidRPr="005742F9">
        <w:rPr>
          <w:rFonts w:ascii="Times New Roman" w:hAnsi="Times New Roman" w:cs="Times New Roman"/>
          <w:sz w:val="24"/>
          <w:szCs w:val="24"/>
        </w:rPr>
        <w:t xml:space="preserve"> increasing the competitiveness of these economies.</w:t>
      </w:r>
      <w:r>
        <w:rPr>
          <w:rFonts w:ascii="Times New Roman" w:hAnsi="Times New Roman" w:cs="Times New Roman"/>
          <w:sz w:val="24"/>
          <w:szCs w:val="24"/>
        </w:rPr>
        <w:t xml:space="preserve"> </w:t>
      </w:r>
      <w:r w:rsidRPr="005742F9">
        <w:rPr>
          <w:rFonts w:ascii="Times New Roman" w:hAnsi="Times New Roman" w:cs="Times New Roman"/>
          <w:sz w:val="24"/>
          <w:szCs w:val="24"/>
        </w:rPr>
        <w:t>It will build on smart specialisation to strengthen research, technological development and innovation.</w:t>
      </w:r>
    </w:p>
    <w:p w14:paraId="52698782" w14:textId="188912B8" w:rsidR="005739B7" w:rsidRPr="005742F9" w:rsidRDefault="005739B7" w:rsidP="005739B7">
      <w:pPr>
        <w:spacing w:after="12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As recalled in the Economic and Investment Plan for the Western Balkans, </w:t>
      </w:r>
      <w:r>
        <w:rPr>
          <w:rFonts w:ascii="Times New Roman" w:hAnsi="Times New Roman" w:cs="Times New Roman"/>
          <w:sz w:val="24"/>
          <w:szCs w:val="24"/>
        </w:rPr>
        <w:t>s</w:t>
      </w:r>
      <w:r w:rsidRPr="36BE81E9">
        <w:rPr>
          <w:rFonts w:ascii="Times New Roman" w:hAnsi="Times New Roman" w:cs="Times New Roman"/>
          <w:sz w:val="24"/>
          <w:szCs w:val="24"/>
        </w:rPr>
        <w:t xml:space="preserve">upporting </w:t>
      </w:r>
      <w:r w:rsidRPr="36BE81E9">
        <w:rPr>
          <w:rFonts w:ascii="Times New Roman" w:hAnsi="Times New Roman" w:cs="Times New Roman"/>
          <w:b/>
          <w:bCs/>
          <w:sz w:val="24"/>
          <w:szCs w:val="24"/>
        </w:rPr>
        <w:t>private sector development</w:t>
      </w:r>
      <w:r w:rsidRPr="36BE81E9">
        <w:rPr>
          <w:rFonts w:ascii="Times New Roman" w:hAnsi="Times New Roman" w:cs="Times New Roman"/>
          <w:sz w:val="24"/>
          <w:szCs w:val="24"/>
        </w:rPr>
        <w:t xml:space="preserve"> and </w:t>
      </w:r>
      <w:r w:rsidRPr="36BE81E9">
        <w:rPr>
          <w:rFonts w:ascii="Times New Roman" w:hAnsi="Times New Roman" w:cs="Times New Roman"/>
          <w:b/>
          <w:bCs/>
          <w:sz w:val="24"/>
          <w:szCs w:val="24"/>
        </w:rPr>
        <w:t>trade</w:t>
      </w:r>
      <w:r w:rsidRPr="36BE81E9">
        <w:rPr>
          <w:rFonts w:ascii="Times New Roman" w:hAnsi="Times New Roman" w:cs="Times New Roman"/>
          <w:sz w:val="24"/>
          <w:szCs w:val="24"/>
        </w:rPr>
        <w:t xml:space="preserve"> </w:t>
      </w:r>
      <w:r w:rsidRPr="00206F86">
        <w:rPr>
          <w:rFonts w:ascii="Times New Roman" w:eastAsia="Times New Roman" w:hAnsi="Times New Roman" w:cs="Times New Roman"/>
          <w:sz w:val="24"/>
          <w:szCs w:val="24"/>
        </w:rPr>
        <w:t xml:space="preserve">is essential </w:t>
      </w:r>
      <w:r>
        <w:rPr>
          <w:rFonts w:ascii="Times New Roman" w:eastAsia="Times New Roman" w:hAnsi="Times New Roman" w:cs="Times New Roman"/>
          <w:sz w:val="24"/>
          <w:szCs w:val="24"/>
        </w:rPr>
        <w:t>for</w:t>
      </w:r>
      <w:r w:rsidRPr="00206F86">
        <w:rPr>
          <w:rFonts w:ascii="Times New Roman" w:eastAsia="Times New Roman" w:hAnsi="Times New Roman" w:cs="Times New Roman"/>
          <w:sz w:val="24"/>
          <w:szCs w:val="24"/>
        </w:rPr>
        <w:t xml:space="preserve"> socio</w:t>
      </w:r>
      <w:r>
        <w:rPr>
          <w:rFonts w:ascii="Times New Roman" w:eastAsia="Times New Roman" w:hAnsi="Times New Roman" w:cs="Times New Roman"/>
          <w:sz w:val="24"/>
          <w:szCs w:val="24"/>
        </w:rPr>
        <w:noBreakHyphen/>
      </w:r>
      <w:r w:rsidRPr="00206F86">
        <w:rPr>
          <w:rFonts w:ascii="Times New Roman" w:eastAsia="Times New Roman" w:hAnsi="Times New Roman" w:cs="Times New Roman"/>
          <w:sz w:val="24"/>
          <w:szCs w:val="24"/>
        </w:rPr>
        <w:t xml:space="preserve">economic </w:t>
      </w:r>
      <w:r w:rsidRPr="00AC43B2">
        <w:rPr>
          <w:rFonts w:ascii="Times New Roman" w:eastAsia="Times New Roman" w:hAnsi="Times New Roman" w:cs="Times New Roman"/>
          <w:sz w:val="24"/>
          <w:szCs w:val="24"/>
        </w:rPr>
        <w:t xml:space="preserve">development and regional integration, and to improve the region’s competitiveness and job creation. </w:t>
      </w:r>
      <w:r w:rsidRPr="36BE81E9">
        <w:rPr>
          <w:rFonts w:ascii="Times New Roman" w:hAnsi="Times New Roman" w:cs="Times New Roman"/>
          <w:sz w:val="24"/>
          <w:szCs w:val="24"/>
        </w:rPr>
        <w:t xml:space="preserve">This entails supporting beneficiaries in fostering private sector investment, boosting trade and increasing </w:t>
      </w:r>
      <w:r>
        <w:rPr>
          <w:rFonts w:ascii="Times New Roman" w:hAnsi="Times New Roman" w:cs="Times New Roman"/>
          <w:sz w:val="24"/>
          <w:szCs w:val="24"/>
        </w:rPr>
        <w:t xml:space="preserve">the innovativeness and </w:t>
      </w:r>
      <w:r w:rsidRPr="36BE81E9">
        <w:rPr>
          <w:rFonts w:ascii="Times New Roman" w:hAnsi="Times New Roman" w:cs="Times New Roman"/>
          <w:sz w:val="24"/>
          <w:szCs w:val="24"/>
        </w:rPr>
        <w:t>productivity of micro, small and medium-sized enterprises (MSMEs), which constitute the vast majority of companies in the region</w:t>
      </w:r>
      <w:r>
        <w:rPr>
          <w:rFonts w:ascii="Times New Roman" w:hAnsi="Times New Roman" w:cs="Times New Roman"/>
          <w:sz w:val="24"/>
          <w:szCs w:val="24"/>
        </w:rPr>
        <w:t xml:space="preserve">. </w:t>
      </w:r>
      <w:r w:rsidRPr="000D4668">
        <w:rPr>
          <w:rFonts w:ascii="Times New Roman" w:hAnsi="Times New Roman" w:cs="Times New Roman"/>
          <w:sz w:val="24"/>
          <w:szCs w:val="24"/>
        </w:rPr>
        <w:t xml:space="preserve">Digitalisation can provide great opportunities for </w:t>
      </w:r>
      <w:r>
        <w:rPr>
          <w:rFonts w:ascii="Times New Roman" w:hAnsi="Times New Roman" w:cs="Times New Roman"/>
          <w:sz w:val="24"/>
          <w:szCs w:val="24"/>
        </w:rPr>
        <w:t>M</w:t>
      </w:r>
      <w:r w:rsidRPr="000D4668">
        <w:rPr>
          <w:rFonts w:ascii="Times New Roman" w:hAnsi="Times New Roman" w:cs="Times New Roman"/>
          <w:sz w:val="24"/>
          <w:szCs w:val="24"/>
        </w:rPr>
        <w:t>SMEs to improve the efficiency of production processes and ability to innovate products and business models</w:t>
      </w:r>
      <w:r>
        <w:rPr>
          <w:rFonts w:ascii="Times New Roman" w:hAnsi="Times New Roman" w:cs="Times New Roman"/>
          <w:sz w:val="24"/>
          <w:szCs w:val="24"/>
        </w:rPr>
        <w:t xml:space="preserve">. IPA III should address MSME’s lack </w:t>
      </w:r>
      <w:r w:rsidRPr="36BE81E9">
        <w:rPr>
          <w:rFonts w:ascii="Times New Roman" w:hAnsi="Times New Roman" w:cs="Times New Roman"/>
          <w:sz w:val="24"/>
          <w:szCs w:val="24"/>
        </w:rPr>
        <w:t>of access to markets, to finance, and to human capital with appropriate skills. Enhancing integration in global value chains provides the opportunities for the economies to increase their competitiveness and strengthen export</w:t>
      </w:r>
      <w:r>
        <w:rPr>
          <w:rFonts w:ascii="Times New Roman" w:hAnsi="Times New Roman" w:cs="Times New Roman"/>
          <w:sz w:val="24"/>
          <w:szCs w:val="24"/>
        </w:rPr>
        <w:t xml:space="preserve">, but need public support services, which could be strengthened and developed with IPA III </w:t>
      </w:r>
      <w:r w:rsidR="006528D6">
        <w:rPr>
          <w:rFonts w:ascii="Times New Roman" w:hAnsi="Times New Roman" w:cs="Times New Roman"/>
          <w:sz w:val="24"/>
          <w:szCs w:val="24"/>
        </w:rPr>
        <w:t xml:space="preserve">assistance </w:t>
      </w:r>
      <w:r>
        <w:rPr>
          <w:rFonts w:ascii="Times New Roman" w:hAnsi="Times New Roman" w:cs="Times New Roman"/>
          <w:sz w:val="24"/>
          <w:szCs w:val="24"/>
        </w:rPr>
        <w:t>where needed.</w:t>
      </w:r>
      <w:r w:rsidR="006528D6">
        <w:rPr>
          <w:rFonts w:ascii="Times New Roman" w:hAnsi="Times New Roman" w:cs="Times New Roman"/>
          <w:sz w:val="24"/>
          <w:szCs w:val="24"/>
        </w:rPr>
        <w:t xml:space="preserve"> IPA III will also support industrial development policy. </w:t>
      </w:r>
      <w:r w:rsidR="00617B36">
        <w:rPr>
          <w:rFonts w:ascii="Times New Roman" w:hAnsi="Times New Roman" w:cs="Times New Roman"/>
          <w:sz w:val="24"/>
          <w:szCs w:val="24"/>
        </w:rPr>
        <w:t>IPA III assistance will s</w:t>
      </w:r>
      <w:r w:rsidR="00617B36" w:rsidRPr="00617B36">
        <w:rPr>
          <w:rFonts w:ascii="Times New Roman" w:hAnsi="Times New Roman" w:cs="Times New Roman"/>
          <w:sz w:val="24"/>
          <w:szCs w:val="24"/>
        </w:rPr>
        <w:t>upport the adoption</w:t>
      </w:r>
      <w:r w:rsidR="00617B36">
        <w:rPr>
          <w:rFonts w:ascii="Times New Roman" w:hAnsi="Times New Roman" w:cs="Times New Roman"/>
          <w:sz w:val="24"/>
          <w:szCs w:val="24"/>
        </w:rPr>
        <w:t xml:space="preserve"> and </w:t>
      </w:r>
      <w:r w:rsidR="00617B36" w:rsidRPr="00617B36">
        <w:rPr>
          <w:rFonts w:ascii="Times New Roman" w:hAnsi="Times New Roman" w:cs="Times New Roman"/>
          <w:sz w:val="24"/>
          <w:szCs w:val="24"/>
        </w:rPr>
        <w:t>implementation of the European standards for construction in the IPA III beneficiaries to strengthen the competitiveness along with the resilience and green recovery of their construction sector</w:t>
      </w:r>
      <w:r w:rsidR="00617B36">
        <w:rPr>
          <w:rFonts w:ascii="Times New Roman" w:hAnsi="Times New Roman" w:cs="Times New Roman"/>
          <w:sz w:val="24"/>
          <w:szCs w:val="24"/>
        </w:rPr>
        <w:t>s</w:t>
      </w:r>
      <w:r w:rsidR="00617B36" w:rsidRPr="00617B36">
        <w:rPr>
          <w:rFonts w:ascii="Times New Roman" w:hAnsi="Times New Roman" w:cs="Times New Roman"/>
          <w:sz w:val="24"/>
          <w:szCs w:val="24"/>
        </w:rPr>
        <w:t>.</w:t>
      </w:r>
    </w:p>
    <w:p w14:paraId="35805CB2" w14:textId="32143636"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address the current structural challenges to the overall business environment, notably with regards to the significant state presence in the economy, high levels of state aid, low levels and structural distortions of competition and the issues related to legal uncertainty and the lack of regional market integration. Support will be provided to the on-going structural reform processes, </w:t>
      </w:r>
      <w:r w:rsidRPr="36BE81E9">
        <w:rPr>
          <w:rFonts w:ascii="Times New Roman" w:hAnsi="Times New Roman" w:cs="Times New Roman"/>
          <w:i/>
          <w:iCs/>
          <w:sz w:val="24"/>
          <w:szCs w:val="24"/>
        </w:rPr>
        <w:t>inter alia</w:t>
      </w:r>
      <w:r w:rsidRPr="36BE81E9">
        <w:rPr>
          <w:rFonts w:ascii="Times New Roman" w:hAnsi="Times New Roman" w:cs="Times New Roman"/>
          <w:sz w:val="24"/>
          <w:szCs w:val="24"/>
        </w:rPr>
        <w:t xml:space="preserve"> in the areas</w:t>
      </w:r>
      <w:r>
        <w:rPr>
          <w:rFonts w:ascii="Times New Roman" w:hAnsi="Times New Roman" w:cs="Times New Roman"/>
          <w:sz w:val="24"/>
          <w:szCs w:val="24"/>
        </w:rPr>
        <w:t xml:space="preserve"> of</w:t>
      </w:r>
      <w:r w:rsidRPr="36BE81E9">
        <w:rPr>
          <w:rFonts w:ascii="Times New Roman" w:hAnsi="Times New Roman" w:cs="Times New Roman"/>
          <w:sz w:val="24"/>
          <w:szCs w:val="24"/>
        </w:rPr>
        <w:t xml:space="preserve"> </w:t>
      </w:r>
      <w:r>
        <w:rPr>
          <w:rFonts w:ascii="Times New Roman" w:hAnsi="Times New Roman" w:cs="Times New Roman"/>
          <w:sz w:val="24"/>
          <w:szCs w:val="24"/>
        </w:rPr>
        <w:t xml:space="preserve">strengthening the protection of </w:t>
      </w:r>
      <w:r w:rsidRPr="008010AB">
        <w:rPr>
          <w:rFonts w:ascii="Times New Roman" w:hAnsi="Times New Roman" w:cs="Times New Roman"/>
          <w:iCs/>
          <w:sz w:val="24"/>
          <w:szCs w:val="24"/>
        </w:rPr>
        <w:t xml:space="preserve">intellectual property rights (chapter 7 of the </w:t>
      </w:r>
      <w:r>
        <w:rPr>
          <w:rFonts w:ascii="Times New Roman" w:hAnsi="Times New Roman" w:cs="Times New Roman"/>
          <w:iCs/>
          <w:sz w:val="24"/>
          <w:szCs w:val="24"/>
        </w:rPr>
        <w:t xml:space="preserve">EU </w:t>
      </w:r>
      <w:r w:rsidRPr="008010AB">
        <w:rPr>
          <w:rFonts w:ascii="Times New Roman" w:hAnsi="Times New Roman" w:cs="Times New Roman"/>
          <w:i/>
          <w:iCs/>
          <w:sz w:val="24"/>
          <w:szCs w:val="24"/>
        </w:rPr>
        <w:t>acquis</w:t>
      </w:r>
      <w:r>
        <w:rPr>
          <w:rFonts w:ascii="Times New Roman" w:hAnsi="Times New Roman" w:cs="Times New Roman"/>
          <w:i/>
          <w:iCs/>
          <w:sz w:val="24"/>
          <w:szCs w:val="24"/>
        </w:rPr>
        <w:t>)</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of competition and state aid control (chapter 8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information society (chapter 10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w:t>
      </w:r>
      <w:r>
        <w:rPr>
          <w:rFonts w:ascii="Times New Roman" w:hAnsi="Times New Roman" w:cs="Times New Roman"/>
          <w:sz w:val="24"/>
          <w:szCs w:val="24"/>
        </w:rPr>
        <w:t>science and research (</w:t>
      </w:r>
      <w:r w:rsidRPr="36BE81E9">
        <w:rPr>
          <w:rFonts w:ascii="Times New Roman" w:hAnsi="Times New Roman" w:cs="Times New Roman"/>
          <w:sz w:val="24"/>
          <w:szCs w:val="24"/>
        </w:rPr>
        <w:t xml:space="preserve">chapter </w:t>
      </w:r>
      <w:r>
        <w:rPr>
          <w:rFonts w:ascii="Times New Roman" w:hAnsi="Times New Roman" w:cs="Times New Roman"/>
          <w:sz w:val="24"/>
          <w:szCs w:val="24"/>
        </w:rPr>
        <w:t>25</w:t>
      </w:r>
      <w:r w:rsidRPr="36BE81E9">
        <w:rPr>
          <w:rFonts w:ascii="Times New Roman" w:hAnsi="Times New Roman" w:cs="Times New Roman"/>
          <w:sz w:val="24"/>
          <w:szCs w:val="24"/>
        </w:rPr>
        <w:t xml:space="preserve">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Pr>
          <w:rFonts w:ascii="Times New Roman" w:hAnsi="Times New Roman" w:cs="Times New Roman"/>
          <w:sz w:val="24"/>
          <w:szCs w:val="24"/>
        </w:rPr>
        <w:t xml:space="preserve">), education and culture (chapter 26 of the EU </w:t>
      </w:r>
      <w:r w:rsidRPr="006670F4">
        <w:rPr>
          <w:rFonts w:ascii="Times New Roman" w:hAnsi="Times New Roman" w:cs="Times New Roman"/>
          <w:i/>
          <w:sz w:val="24"/>
          <w:szCs w:val="24"/>
        </w:rPr>
        <w:t>acquis</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consumer protection (chapter 28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company law (chapter 6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 xml:space="preserve">acquis) </w:t>
      </w:r>
      <w:r w:rsidRPr="36BE81E9">
        <w:rPr>
          <w:rFonts w:ascii="Times New Roman" w:hAnsi="Times New Roman" w:cs="Times New Roman"/>
          <w:sz w:val="24"/>
          <w:szCs w:val="24"/>
        </w:rPr>
        <w:t xml:space="preserve">and free movement of goods, capital and services (chapters 1, 3 and 4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 xml:space="preserve">, as well as for reducing regulatory barriers for businesses and for strengthening green growth (chapters 20 and 27 of the </w:t>
      </w:r>
      <w:r>
        <w:rPr>
          <w:rFonts w:ascii="Times New Roman" w:hAnsi="Times New Roman" w:cs="Times New Roman"/>
          <w:sz w:val="24"/>
          <w:szCs w:val="24"/>
        </w:rPr>
        <w:t xml:space="preserve">EU </w:t>
      </w:r>
      <w:r w:rsidRPr="36BE81E9">
        <w:rPr>
          <w:rFonts w:ascii="Times New Roman" w:hAnsi="Times New Roman" w:cs="Times New Roman"/>
          <w:i/>
          <w:iCs/>
          <w:sz w:val="24"/>
          <w:szCs w:val="24"/>
        </w:rPr>
        <w:t>acquis)</w:t>
      </w:r>
      <w:r w:rsidRPr="36BE81E9">
        <w:rPr>
          <w:rFonts w:ascii="Times New Roman" w:hAnsi="Times New Roman" w:cs="Times New Roman"/>
          <w:sz w:val="24"/>
          <w:szCs w:val="24"/>
        </w:rPr>
        <w:t>.</w:t>
      </w:r>
      <w:r>
        <w:rPr>
          <w:rFonts w:ascii="Times New Roman" w:hAnsi="Times New Roman" w:cs="Times New Roman"/>
          <w:sz w:val="24"/>
          <w:szCs w:val="24"/>
        </w:rPr>
        <w:t xml:space="preserve"> </w:t>
      </w:r>
      <w:r w:rsidR="00672CD3">
        <w:rPr>
          <w:rFonts w:ascii="Times New Roman" w:hAnsi="Times New Roman" w:cs="Times New Roman"/>
          <w:sz w:val="24"/>
          <w:szCs w:val="24"/>
        </w:rPr>
        <w:t xml:space="preserve">These chapters were mainly gathered in cluster 2 (Internal Market) and 3 (Competitiveness and Inclusive Growth). </w:t>
      </w:r>
      <w:r w:rsidRPr="36BE81E9">
        <w:rPr>
          <w:rFonts w:ascii="Times New Roman" w:hAnsi="Times New Roman" w:cs="Times New Roman"/>
          <w:sz w:val="24"/>
          <w:szCs w:val="24"/>
        </w:rPr>
        <w:t>IPA III programmes under Window 4 should in priority help addressing the specific challenges elaborated in the Commissions assessments of the relevant Economic Reform Programmes as well as the jointly agreed policy recommendations with all IPA beneficiaries in the Economic and Financial Dialogue between the EU and the Western Balkans and Turkey. These reform priorities should inform and guide programming under Window 4.</w:t>
      </w:r>
    </w:p>
    <w:p w14:paraId="1870E3AC" w14:textId="2B67522A"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parallel, a strengthened quality infrastructure will be supported and developed, particularly as this concerns metrology, standardisation, accreditation, conformity assessment and </w:t>
      </w:r>
      <w:r w:rsidR="00880FC7">
        <w:rPr>
          <w:rFonts w:ascii="Times New Roman" w:hAnsi="Times New Roman" w:cs="Times New Roman"/>
          <w:sz w:val="24"/>
          <w:szCs w:val="24"/>
        </w:rPr>
        <w:t>market surveillance of products</w:t>
      </w:r>
      <w:r w:rsidRPr="36BE81E9">
        <w:rPr>
          <w:rFonts w:ascii="Times New Roman" w:hAnsi="Times New Roman" w:cs="Times New Roman"/>
          <w:sz w:val="24"/>
          <w:szCs w:val="24"/>
        </w:rPr>
        <w:t>.</w:t>
      </w:r>
    </w:p>
    <w:p w14:paraId="3DDAEA24" w14:textId="77AED774"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At regional level, the Western Balkans in particular will benefit from the implementation of the </w:t>
      </w:r>
      <w:r w:rsidRPr="00E93B42">
        <w:rPr>
          <w:rFonts w:ascii="Times New Roman" w:hAnsi="Times New Roman" w:cs="Times New Roman"/>
          <w:sz w:val="24"/>
          <w:szCs w:val="24"/>
        </w:rPr>
        <w:t>Agenda on Innovation, Research, Education, Culture, Youth and Sport</w:t>
      </w:r>
      <w:r>
        <w:rPr>
          <w:rFonts w:ascii="Times New Roman" w:hAnsi="Times New Roman" w:cs="Times New Roman"/>
          <w:sz w:val="24"/>
          <w:szCs w:val="24"/>
        </w:rPr>
        <w:t>,</w:t>
      </w:r>
      <w:r w:rsidR="005A1719">
        <w:rPr>
          <w:rFonts w:ascii="Times New Roman" w:hAnsi="Times New Roman" w:cs="Times New Roman"/>
          <w:sz w:val="24"/>
          <w:szCs w:val="24"/>
        </w:rPr>
        <w:t xml:space="preserve"> the </w:t>
      </w:r>
      <w:r w:rsidR="005A1719" w:rsidRPr="005A1719">
        <w:rPr>
          <w:rFonts w:ascii="Times New Roman" w:hAnsi="Times New Roman" w:cs="Times New Roman"/>
          <w:sz w:val="24"/>
          <w:szCs w:val="24"/>
        </w:rPr>
        <w:t>Common Regional Market 2021-2024 agenda</w:t>
      </w:r>
      <w:r>
        <w:rPr>
          <w:rFonts w:ascii="Times New Roman" w:hAnsi="Times New Roman" w:cs="Times New Roman"/>
          <w:sz w:val="24"/>
          <w:szCs w:val="24"/>
        </w:rPr>
        <w:t xml:space="preserve"> and </w:t>
      </w:r>
      <w:r w:rsidR="005A1719">
        <w:rPr>
          <w:rFonts w:ascii="Times New Roman" w:hAnsi="Times New Roman" w:cs="Times New Roman"/>
          <w:sz w:val="24"/>
          <w:szCs w:val="24"/>
        </w:rPr>
        <w:t>the</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Regional Economic Area Multiannual Action Plan </w:t>
      </w:r>
      <w:r>
        <w:rPr>
          <w:rFonts w:ascii="Times New Roman" w:hAnsi="Times New Roman" w:cs="Times New Roman"/>
          <w:sz w:val="24"/>
          <w:szCs w:val="24"/>
        </w:rPr>
        <w:t xml:space="preserve">of the </w:t>
      </w:r>
      <w:r w:rsidRPr="001625BF">
        <w:rPr>
          <w:rFonts w:ascii="Times New Roman" w:hAnsi="Times New Roman" w:cs="Times New Roman"/>
          <w:sz w:val="24"/>
          <w:szCs w:val="24"/>
        </w:rPr>
        <w:t>Regional Cooperation Council</w:t>
      </w:r>
      <w:r>
        <w:rPr>
          <w:rFonts w:ascii="Times New Roman" w:hAnsi="Times New Roman" w:cs="Times New Roman"/>
          <w:sz w:val="24"/>
          <w:szCs w:val="24"/>
        </w:rPr>
        <w:t>,</w:t>
      </w:r>
      <w:r w:rsidRPr="36BE81E9">
        <w:rPr>
          <w:rFonts w:ascii="Times New Roman" w:hAnsi="Times New Roman" w:cs="Times New Roman"/>
          <w:sz w:val="24"/>
          <w:szCs w:val="24"/>
        </w:rPr>
        <w:t xml:space="preserve"> as initiated in the 'Berlin Process'.</w:t>
      </w:r>
      <w:r w:rsidR="005A1719">
        <w:rPr>
          <w:rFonts w:ascii="Times New Roman" w:hAnsi="Times New Roman" w:cs="Times New Roman"/>
          <w:sz w:val="24"/>
          <w:szCs w:val="24"/>
        </w:rPr>
        <w:t xml:space="preserve"> </w:t>
      </w:r>
      <w:r w:rsidRPr="36BE81E9">
        <w:rPr>
          <w:rFonts w:ascii="Times New Roman" w:hAnsi="Times New Roman" w:cs="Times New Roman"/>
          <w:sz w:val="24"/>
          <w:szCs w:val="24"/>
        </w:rPr>
        <w:t xml:space="preserve"> This ambitious agenda requires support efforts in order to yield concrete benefits, through removed barriers, economic integration, and tangible business opportunities. Accordingly, IPA III will support its implementation. </w:t>
      </w:r>
    </w:p>
    <w:p w14:paraId="12554AD0"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Recognising the increasingly </w:t>
      </w:r>
      <w:r w:rsidRPr="36BE81E9">
        <w:rPr>
          <w:rFonts w:ascii="Times New Roman" w:hAnsi="Times New Roman"/>
          <w:b/>
          <w:bCs/>
          <w:sz w:val="24"/>
          <w:szCs w:val="24"/>
        </w:rPr>
        <w:t>important role of financial markets</w:t>
      </w:r>
      <w:r w:rsidRPr="36BE81E9">
        <w:rPr>
          <w:rFonts w:ascii="Times New Roman" w:hAnsi="Times New Roman" w:cs="Times New Roman"/>
          <w:sz w:val="24"/>
          <w:szCs w:val="24"/>
        </w:rPr>
        <w:t xml:space="preserve"> in funding the economy, IPA III will support beneficiaries in diversifying their financial markets</w:t>
      </w:r>
      <w:r>
        <w:rPr>
          <w:rFonts w:ascii="Times New Roman" w:hAnsi="Times New Roman" w:cs="Times New Roman"/>
          <w:sz w:val="24"/>
          <w:szCs w:val="24"/>
        </w:rPr>
        <w:t xml:space="preserve"> and financial literacy and inclusion of MSMEs</w:t>
      </w:r>
      <w:r w:rsidRPr="36BE81E9">
        <w:rPr>
          <w:rFonts w:ascii="Times New Roman" w:hAnsi="Times New Roman" w:cs="Times New Roman"/>
          <w:sz w:val="24"/>
          <w:szCs w:val="24"/>
        </w:rPr>
        <w:t xml:space="preserve"> with the objective to enlarge the financing options to entrepreneurs and encourage investment, innovation and growth. Support will be provided for sustainable finance, promoting environment-friendly investments while preserving the stability of the financial system.</w:t>
      </w:r>
    </w:p>
    <w:p w14:paraId="6D23B7F8" w14:textId="570A039C"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the area of </w:t>
      </w:r>
      <w:r w:rsidRPr="36BE81E9">
        <w:rPr>
          <w:rFonts w:ascii="Times New Roman" w:hAnsi="Times New Roman" w:cs="Times New Roman"/>
          <w:b/>
          <w:bCs/>
          <w:sz w:val="24"/>
          <w:szCs w:val="24"/>
        </w:rPr>
        <w:t>research and innovation</w:t>
      </w:r>
      <w:r w:rsidRPr="36BE81E9">
        <w:rPr>
          <w:rFonts w:ascii="Times New Roman" w:hAnsi="Times New Roman" w:cs="Times New Roman"/>
          <w:sz w:val="24"/>
          <w:szCs w:val="24"/>
        </w:rPr>
        <w:t xml:space="preserve">, IPA III will provide support to the </w:t>
      </w:r>
      <w:r>
        <w:rPr>
          <w:rFonts w:ascii="Times New Roman" w:hAnsi="Times New Roman" w:cs="Times New Roman"/>
          <w:sz w:val="24"/>
          <w:szCs w:val="24"/>
        </w:rPr>
        <w:t>quadruple</w:t>
      </w:r>
      <w:r w:rsidRPr="36BE81E9">
        <w:rPr>
          <w:rFonts w:ascii="Times New Roman" w:hAnsi="Times New Roman" w:cs="Times New Roman"/>
          <w:sz w:val="24"/>
          <w:szCs w:val="24"/>
        </w:rPr>
        <w:t xml:space="preserve"> helix model of innovation with interactions between academia, industry and governments</w:t>
      </w:r>
      <w:r>
        <w:rPr>
          <w:rFonts w:ascii="Times New Roman" w:hAnsi="Times New Roman" w:cs="Times New Roman"/>
          <w:sz w:val="24"/>
          <w:szCs w:val="24"/>
        </w:rPr>
        <w:t xml:space="preserve"> and civil society. The aim is</w:t>
      </w:r>
      <w:r w:rsidRPr="36BE81E9">
        <w:rPr>
          <w:rFonts w:ascii="Times New Roman" w:hAnsi="Times New Roman" w:cs="Times New Roman"/>
          <w:sz w:val="24"/>
          <w:szCs w:val="24"/>
        </w:rPr>
        <w:t xml:space="preserve"> to foster economic and social development including the development of new technologies, research, training and education, improved access to research infrastructure</w:t>
      </w:r>
      <w:r w:rsidR="006528D6">
        <w:rPr>
          <w:rFonts w:ascii="Times New Roman" w:hAnsi="Times New Roman" w:cs="Times New Roman"/>
          <w:sz w:val="24"/>
          <w:szCs w:val="24"/>
        </w:rPr>
        <w:t xml:space="preserve"> and creative industry</w:t>
      </w:r>
      <w:r>
        <w:rPr>
          <w:rFonts w:ascii="Times New Roman" w:hAnsi="Times New Roman" w:cs="Times New Roman"/>
          <w:sz w:val="24"/>
          <w:szCs w:val="24"/>
        </w:rPr>
        <w:t>. It will also contribute to</w:t>
      </w:r>
      <w:r w:rsidRPr="36BE81E9">
        <w:rPr>
          <w:rFonts w:ascii="Times New Roman" w:hAnsi="Times New Roman" w:cs="Times New Roman"/>
          <w:sz w:val="24"/>
          <w:szCs w:val="24"/>
        </w:rPr>
        <w:t xml:space="preserve"> fostering international collaborations and networking with other research institutes,</w:t>
      </w:r>
      <w:r>
        <w:rPr>
          <w:rFonts w:ascii="Times New Roman" w:hAnsi="Times New Roman" w:cs="Times New Roman"/>
          <w:sz w:val="24"/>
          <w:szCs w:val="24"/>
        </w:rPr>
        <w:t xml:space="preserve"> </w:t>
      </w:r>
      <w:r w:rsidRPr="36BE81E9">
        <w:rPr>
          <w:rFonts w:ascii="Times New Roman" w:hAnsi="Times New Roman" w:cs="Times New Roman"/>
          <w:sz w:val="24"/>
          <w:szCs w:val="24"/>
        </w:rPr>
        <w:t>enhanced transfer of technology to the commercial sector</w:t>
      </w:r>
      <w:r>
        <w:rPr>
          <w:rFonts w:ascii="Times New Roman" w:hAnsi="Times New Roman" w:cs="Times New Roman"/>
          <w:sz w:val="24"/>
          <w:szCs w:val="24"/>
        </w:rPr>
        <w:t xml:space="preserve"> </w:t>
      </w:r>
      <w:r w:rsidRPr="008010AB">
        <w:rPr>
          <w:rFonts w:ascii="Times New Roman" w:hAnsi="Times New Roman" w:cs="Times New Roman"/>
          <w:sz w:val="24"/>
          <w:szCs w:val="24"/>
        </w:rPr>
        <w:t>and access and sharing of I</w:t>
      </w:r>
      <w:r w:rsidR="00880FC7">
        <w:rPr>
          <w:rFonts w:ascii="Times New Roman" w:hAnsi="Times New Roman" w:cs="Times New Roman"/>
          <w:sz w:val="24"/>
          <w:szCs w:val="24"/>
        </w:rPr>
        <w:t xml:space="preserve">ntellectual </w:t>
      </w:r>
      <w:r w:rsidRPr="008010AB">
        <w:rPr>
          <w:rFonts w:ascii="Times New Roman" w:hAnsi="Times New Roman" w:cs="Times New Roman"/>
          <w:sz w:val="24"/>
          <w:szCs w:val="24"/>
        </w:rPr>
        <w:t>P</w:t>
      </w:r>
      <w:r w:rsidR="00880FC7">
        <w:rPr>
          <w:rFonts w:ascii="Times New Roman" w:hAnsi="Times New Roman" w:cs="Times New Roman"/>
          <w:sz w:val="24"/>
          <w:szCs w:val="24"/>
        </w:rPr>
        <w:t>roperty</w:t>
      </w:r>
      <w:r w:rsidRPr="008010AB">
        <w:rPr>
          <w:rFonts w:ascii="Times New Roman" w:hAnsi="Times New Roman" w:cs="Times New Roman"/>
          <w:sz w:val="24"/>
          <w:szCs w:val="24"/>
        </w:rPr>
        <w:t xml:space="preserve"> protected assets as well as market uptake of R</w:t>
      </w:r>
      <w:r w:rsidR="00880FC7">
        <w:rPr>
          <w:rFonts w:ascii="Times New Roman" w:hAnsi="Times New Roman" w:cs="Times New Roman"/>
          <w:sz w:val="24"/>
          <w:szCs w:val="24"/>
        </w:rPr>
        <w:t xml:space="preserve">esearch and </w:t>
      </w:r>
      <w:r w:rsidRPr="008010AB">
        <w:rPr>
          <w:rFonts w:ascii="Times New Roman" w:hAnsi="Times New Roman" w:cs="Times New Roman"/>
          <w:sz w:val="24"/>
          <w:szCs w:val="24"/>
        </w:rPr>
        <w:t>I</w:t>
      </w:r>
      <w:r w:rsidR="00880FC7">
        <w:rPr>
          <w:rFonts w:ascii="Times New Roman" w:hAnsi="Times New Roman" w:cs="Times New Roman"/>
          <w:sz w:val="24"/>
          <w:szCs w:val="24"/>
        </w:rPr>
        <w:t>nnovation</w:t>
      </w:r>
      <w:r w:rsidRPr="008010AB">
        <w:rPr>
          <w:rFonts w:ascii="Times New Roman" w:hAnsi="Times New Roman" w:cs="Times New Roman"/>
          <w:sz w:val="24"/>
          <w:szCs w:val="24"/>
        </w:rPr>
        <w:t xml:space="preserve"> </w:t>
      </w:r>
      <w:r>
        <w:rPr>
          <w:rFonts w:ascii="Times New Roman" w:hAnsi="Times New Roman" w:cs="Times New Roman"/>
          <w:sz w:val="24"/>
          <w:szCs w:val="24"/>
        </w:rPr>
        <w:t xml:space="preserve">results. </w:t>
      </w:r>
      <w:r w:rsidRPr="00AB565B">
        <w:rPr>
          <w:rFonts w:ascii="Times New Roman" w:hAnsi="Times New Roman" w:cs="Times New Roman"/>
          <w:sz w:val="24"/>
          <w:szCs w:val="24"/>
        </w:rPr>
        <w:t>Continuous dialogue between academia, industry, governments and civil society is one of the main pillars of the smart specialisation approach. As smart specialisation has been recognised as a key approach for strengthening research, technological development and innovation, IPA III will support the implementation of the Smart Specialisation Strategies.</w:t>
      </w:r>
      <w:r>
        <w:rPr>
          <w:rFonts w:ascii="Times New Roman" w:hAnsi="Times New Roman" w:cs="Times New Roman"/>
          <w:sz w:val="24"/>
          <w:szCs w:val="24"/>
        </w:rPr>
        <w:t xml:space="preserve"> </w:t>
      </w:r>
      <w:r w:rsidRPr="008010AB">
        <w:rPr>
          <w:rFonts w:ascii="Times New Roman" w:hAnsi="Times New Roman" w:cs="Times New Roman"/>
          <w:sz w:val="24"/>
          <w:szCs w:val="24"/>
        </w:rPr>
        <w:t xml:space="preserve">Within this context, it is of particular relevance </w:t>
      </w:r>
      <w:r w:rsidR="00BF46EA">
        <w:rPr>
          <w:rFonts w:ascii="Times New Roman" w:hAnsi="Times New Roman" w:cs="Times New Roman"/>
          <w:sz w:val="24"/>
          <w:szCs w:val="24"/>
        </w:rPr>
        <w:t>to consider synergies</w:t>
      </w:r>
      <w:r w:rsidRPr="008010AB">
        <w:rPr>
          <w:rFonts w:ascii="Times New Roman" w:hAnsi="Times New Roman" w:cs="Times New Roman"/>
          <w:sz w:val="24"/>
          <w:szCs w:val="24"/>
        </w:rPr>
        <w:t xml:space="preserve"> and collaboration with the European Institute of Innovation and Technology for reinforcing cooperation with its knowledge</w:t>
      </w:r>
      <w:r>
        <w:rPr>
          <w:rFonts w:ascii="Times New Roman" w:hAnsi="Times New Roman" w:cs="Times New Roman"/>
          <w:sz w:val="24"/>
          <w:szCs w:val="24"/>
        </w:rPr>
        <w:t xml:space="preserve"> and innovation communities, including </w:t>
      </w:r>
      <w:r w:rsidRPr="008010AB">
        <w:rPr>
          <w:rFonts w:ascii="Times New Roman" w:hAnsi="Times New Roman" w:cs="Times New Roman"/>
          <w:sz w:val="24"/>
          <w:szCs w:val="24"/>
        </w:rPr>
        <w:t xml:space="preserve">those dealing with energy, </w:t>
      </w:r>
      <w:r w:rsidR="009D3D95">
        <w:rPr>
          <w:rFonts w:ascii="Times New Roman" w:hAnsi="Times New Roman" w:cs="Times New Roman"/>
          <w:sz w:val="24"/>
          <w:szCs w:val="24"/>
        </w:rPr>
        <w:t>,</w:t>
      </w:r>
      <w:r w:rsidR="009D3D95" w:rsidRPr="008010AB">
        <w:rPr>
          <w:rFonts w:ascii="Times New Roman" w:hAnsi="Times New Roman" w:cs="Times New Roman"/>
          <w:sz w:val="24"/>
          <w:szCs w:val="24"/>
        </w:rPr>
        <w:t xml:space="preserve"> </w:t>
      </w:r>
      <w:r w:rsidRPr="008010AB">
        <w:rPr>
          <w:rFonts w:ascii="Times New Roman" w:hAnsi="Times New Roman" w:cs="Times New Roman"/>
          <w:sz w:val="24"/>
          <w:szCs w:val="24"/>
        </w:rPr>
        <w:t>raw materials, food management and urban mobility</w:t>
      </w:r>
      <w:r w:rsidR="00BF46EA" w:rsidRPr="00BF46EA">
        <w:rPr>
          <w:rFonts w:ascii="Times New Roman" w:hAnsi="Times New Roman" w:cs="Times New Roman"/>
          <w:sz w:val="24"/>
          <w:szCs w:val="24"/>
        </w:rPr>
        <w:t xml:space="preserve">, as well as </w:t>
      </w:r>
      <w:r w:rsidR="00A34EAF">
        <w:rPr>
          <w:rFonts w:ascii="Times New Roman" w:hAnsi="Times New Roman" w:cs="Times New Roman"/>
          <w:sz w:val="24"/>
          <w:szCs w:val="24"/>
        </w:rPr>
        <w:t>digital transformation,</w:t>
      </w:r>
      <w:r w:rsidR="00A34EAF" w:rsidRPr="00BF46EA">
        <w:rPr>
          <w:rFonts w:ascii="Times New Roman" w:hAnsi="Times New Roman" w:cs="Times New Roman"/>
          <w:sz w:val="24"/>
          <w:szCs w:val="24"/>
        </w:rPr>
        <w:t xml:space="preserve"> </w:t>
      </w:r>
      <w:r w:rsidR="00A34EAF">
        <w:rPr>
          <w:rFonts w:ascii="Times New Roman" w:hAnsi="Times New Roman" w:cs="Times New Roman"/>
          <w:sz w:val="24"/>
          <w:szCs w:val="24"/>
        </w:rPr>
        <w:t xml:space="preserve">and </w:t>
      </w:r>
      <w:r w:rsidR="00BF46EA" w:rsidRPr="00BF46EA">
        <w:rPr>
          <w:rFonts w:ascii="Times New Roman" w:hAnsi="Times New Roman" w:cs="Times New Roman"/>
          <w:sz w:val="24"/>
          <w:szCs w:val="24"/>
        </w:rPr>
        <w:t>with the Horizon Europe programme and, in particular, its missions</w:t>
      </w:r>
      <w:r w:rsidRPr="008010AB">
        <w:rPr>
          <w:rFonts w:ascii="Times New Roman" w:hAnsi="Times New Roman" w:cs="Times New Roman"/>
          <w:sz w:val="24"/>
          <w:szCs w:val="24"/>
        </w:rPr>
        <w:t>.</w:t>
      </w:r>
    </w:p>
    <w:p w14:paraId="0E559DF5" w14:textId="77777777" w:rsidR="005739B7" w:rsidRPr="005742F9" w:rsidRDefault="005739B7"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Pr="00E93B42">
        <w:rPr>
          <w:rFonts w:ascii="Times New Roman" w:hAnsi="Times New Roman" w:cs="Times New Roman"/>
          <w:sz w:val="24"/>
          <w:szCs w:val="24"/>
        </w:rPr>
        <w:t>nvestments directed towards innovations</w:t>
      </w:r>
      <w:r>
        <w:rPr>
          <w:rFonts w:ascii="Times New Roman" w:hAnsi="Times New Roman" w:cs="Times New Roman"/>
          <w:sz w:val="24"/>
          <w:szCs w:val="24"/>
        </w:rPr>
        <w:t xml:space="preserve"> in broad sense</w:t>
      </w:r>
      <w:r w:rsidRPr="00E93B42">
        <w:rPr>
          <w:rFonts w:ascii="Times New Roman" w:hAnsi="Times New Roman" w:cs="Times New Roman"/>
          <w:sz w:val="24"/>
          <w:szCs w:val="24"/>
        </w:rPr>
        <w:t xml:space="preserve"> </w:t>
      </w:r>
      <w:r>
        <w:rPr>
          <w:rFonts w:ascii="Times New Roman" w:hAnsi="Times New Roman" w:cs="Times New Roman"/>
          <w:sz w:val="24"/>
          <w:szCs w:val="24"/>
        </w:rPr>
        <w:t>will be supported</w:t>
      </w:r>
      <w:r w:rsidRPr="00E93B42">
        <w:rPr>
          <w:rFonts w:ascii="Times New Roman" w:hAnsi="Times New Roman" w:cs="Times New Roman"/>
          <w:sz w:val="24"/>
          <w:szCs w:val="24"/>
        </w:rPr>
        <w:t xml:space="preserve">, as well as actions that create sustainable and human capital development and a digital future. The ongoing process of reforming education, training and research systems in the region </w:t>
      </w:r>
      <w:r>
        <w:rPr>
          <w:rFonts w:ascii="Times New Roman" w:hAnsi="Times New Roman" w:cs="Times New Roman"/>
          <w:sz w:val="24"/>
          <w:szCs w:val="24"/>
        </w:rPr>
        <w:t>will</w:t>
      </w:r>
      <w:r w:rsidRPr="00E93B42">
        <w:rPr>
          <w:rFonts w:ascii="Times New Roman" w:hAnsi="Times New Roman" w:cs="Times New Roman"/>
          <w:sz w:val="24"/>
          <w:szCs w:val="24"/>
        </w:rPr>
        <w:t xml:space="preserve"> be reinforced and accelerated, by providing more opportunities for capacity building and business orientation, and increasing the innovation potential.</w:t>
      </w:r>
      <w:r>
        <w:rPr>
          <w:rFonts w:ascii="Times New Roman" w:hAnsi="Times New Roman" w:cs="Times New Roman"/>
          <w:sz w:val="24"/>
          <w:szCs w:val="24"/>
        </w:rPr>
        <w:t xml:space="preserve"> Efforts supported by IPA III will</w:t>
      </w:r>
      <w:r w:rsidRPr="00E93B42">
        <w:rPr>
          <w:rFonts w:ascii="Times New Roman" w:hAnsi="Times New Roman" w:cs="Times New Roman"/>
          <w:sz w:val="24"/>
          <w:szCs w:val="24"/>
        </w:rPr>
        <w:t xml:space="preserve"> stimulate the region’s ability to effectively use resources in support of innovation, especially through the establishment of mechanisms to create, support and promote start-ups oriented towards a circular and sustainable economy</w:t>
      </w:r>
      <w:r>
        <w:rPr>
          <w:rFonts w:ascii="Times New Roman" w:hAnsi="Times New Roman" w:cs="Times New Roman"/>
          <w:sz w:val="24"/>
          <w:szCs w:val="24"/>
        </w:rPr>
        <w:t>.</w:t>
      </w:r>
    </w:p>
    <w:p w14:paraId="05997309" w14:textId="77777777" w:rsidR="005739B7" w:rsidRPr="00F83B78" w:rsidRDefault="005739B7" w:rsidP="005739B7">
      <w:pPr>
        <w:spacing w:after="120" w:line="240" w:lineRule="auto"/>
        <w:rPr>
          <w:rFonts w:ascii="Times New Roman" w:hAnsi="Times New Roman" w:cs="Times New Roman"/>
          <w:i/>
          <w:iCs/>
          <w:sz w:val="24"/>
          <w:szCs w:val="24"/>
        </w:rPr>
      </w:pPr>
      <w:r w:rsidRPr="36BE81E9">
        <w:rPr>
          <w:rFonts w:ascii="Times New Roman" w:hAnsi="Times New Roman" w:cs="Times New Roman"/>
          <w:i/>
          <w:iCs/>
          <w:sz w:val="24"/>
          <w:szCs w:val="24"/>
        </w:rPr>
        <w:t>Thematic Priority 3: Agriculture and rural development</w:t>
      </w:r>
    </w:p>
    <w:p w14:paraId="6ADEC821"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specific objective of IPA III in this area is gradually building an agricultural sector capable of competing with market forces, while progressively aligning with the EU legal framework in the field of agriculture and rural development and the relevant veterinary, food safety and phytosanitary standards (SPS standards).</w:t>
      </w:r>
      <w:r>
        <w:rPr>
          <w:rFonts w:ascii="Times New Roman" w:hAnsi="Times New Roman" w:cs="Times New Roman"/>
          <w:sz w:val="24"/>
          <w:szCs w:val="24"/>
        </w:rPr>
        <w:t xml:space="preserve"> </w:t>
      </w:r>
      <w:r w:rsidRPr="0091125B">
        <w:rPr>
          <w:rFonts w:ascii="Times New Roman" w:hAnsi="Times New Roman" w:cs="Times New Roman"/>
          <w:sz w:val="24"/>
          <w:szCs w:val="24"/>
        </w:rPr>
        <w:t xml:space="preserve">Major efforts are still necessary for food safety, animal welfare and the transition towards sustainable food systems, being increasingly important in view of the necessary alignment with the EU food safety </w:t>
      </w:r>
      <w:r w:rsidRPr="009F6272">
        <w:rPr>
          <w:rFonts w:ascii="Times New Roman" w:hAnsi="Times New Roman" w:cs="Times New Roman"/>
          <w:i/>
          <w:sz w:val="24"/>
          <w:szCs w:val="24"/>
        </w:rPr>
        <w:t>acquis</w:t>
      </w:r>
      <w:r w:rsidRPr="0091125B">
        <w:rPr>
          <w:rFonts w:ascii="Times New Roman" w:hAnsi="Times New Roman" w:cs="Times New Roman"/>
          <w:sz w:val="24"/>
          <w:szCs w:val="24"/>
        </w:rPr>
        <w:t xml:space="preserve"> and the EU Farm to Fork Strategy, which is at the heart of the EU Green Deal aiming to make food systems fair, healthy and environmentally friendly.</w:t>
      </w:r>
      <w:r>
        <w:rPr>
          <w:rFonts w:ascii="Times New Roman" w:hAnsi="Times New Roman" w:cs="Times New Roman"/>
          <w:sz w:val="24"/>
          <w:szCs w:val="24"/>
        </w:rPr>
        <w:t xml:space="preserve"> </w:t>
      </w:r>
      <w:r w:rsidRPr="36BE81E9">
        <w:rPr>
          <w:rFonts w:ascii="Times New Roman" w:hAnsi="Times New Roman" w:cs="Times New Roman"/>
          <w:sz w:val="24"/>
          <w:szCs w:val="24"/>
        </w:rPr>
        <w:t>IPA III will also contribute to ensuring food security in the region, improve the life of rural residents through the economic and social development of rural areas</w:t>
      </w:r>
      <w:r>
        <w:rPr>
          <w:rFonts w:ascii="Times New Roman" w:hAnsi="Times New Roman" w:cs="Times New Roman"/>
          <w:sz w:val="24"/>
          <w:szCs w:val="24"/>
        </w:rPr>
        <w:t xml:space="preserve"> </w:t>
      </w:r>
      <w:r w:rsidRPr="36BE81E9">
        <w:rPr>
          <w:rFonts w:ascii="Times New Roman" w:hAnsi="Times New Roman" w:cs="Times New Roman"/>
          <w:sz w:val="24"/>
          <w:szCs w:val="24"/>
        </w:rPr>
        <w:t>and to build resilience to adverse effects of climate change</w:t>
      </w:r>
      <w:r>
        <w:rPr>
          <w:rFonts w:ascii="Times New Roman" w:hAnsi="Times New Roman" w:cs="Times New Roman"/>
          <w:sz w:val="24"/>
          <w:szCs w:val="24"/>
        </w:rPr>
        <w:t>.</w:t>
      </w:r>
    </w:p>
    <w:p w14:paraId="7FB08C1A" w14:textId="098C6645"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 III will help tackling the existing structural challenges in the sector, such as low productivity</w:t>
      </w:r>
      <w:r w:rsidR="002331A7">
        <w:rPr>
          <w:rFonts w:ascii="Times New Roman" w:hAnsi="Times New Roman" w:cs="Times New Roman"/>
          <w:sz w:val="24"/>
          <w:szCs w:val="24"/>
        </w:rPr>
        <w:t xml:space="preserve"> and innovation,</w:t>
      </w:r>
      <w:r w:rsidRPr="36BE81E9">
        <w:rPr>
          <w:rFonts w:ascii="Times New Roman" w:hAnsi="Times New Roman" w:cs="Times New Roman"/>
          <w:sz w:val="24"/>
          <w:szCs w:val="24"/>
        </w:rPr>
        <w:t xml:space="preserve"> lack of diversification, labour-intensive subsistence farming, land fragmentation, difficulties in accessing financial credit to increase investments, as well as lack of proper advisory services and modern technology, poor quality rural infrastructure.</w:t>
      </w:r>
    </w:p>
    <w:p w14:paraId="32FBB3DD"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In particular, actions funded under this Window should aim to improve market orientation and competitiveness of the agri-food sector, improve the sector’s response to social demands for safe, healthy, nutritious food and animal welfare and enhance farmers’ position in the food chain. The actions will also be channelling investments in farm buildings and technologies, processing and marketing with the view of meeting EU food safety, animal welfare and environmental standards, diversification of activities and development of rural business with a view to foster engagement of women from rural areas. </w:t>
      </w:r>
    </w:p>
    <w:p w14:paraId="7D2FE6D8" w14:textId="7DF93550"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IPA</w:t>
      </w:r>
      <w:r>
        <w:rPr>
          <w:rFonts w:ascii="Times New Roman" w:hAnsi="Times New Roman" w:cs="Times New Roman"/>
          <w:sz w:val="24"/>
          <w:szCs w:val="24"/>
        </w:rPr>
        <w:t xml:space="preserve"> </w:t>
      </w:r>
      <w:r w:rsidRPr="36BE81E9">
        <w:rPr>
          <w:rFonts w:ascii="Times New Roman" w:hAnsi="Times New Roman" w:cs="Times New Roman"/>
          <w:sz w:val="24"/>
          <w:szCs w:val="24"/>
        </w:rPr>
        <w:t>III will also facilitate business development and employment in rural areas and encourage young farmers. Moreover, IPA III will contribute to</w:t>
      </w:r>
      <w:r>
        <w:rPr>
          <w:rFonts w:ascii="Times New Roman" w:hAnsi="Times New Roman" w:cs="Times New Roman"/>
          <w:sz w:val="24"/>
          <w:szCs w:val="24"/>
        </w:rPr>
        <w:t xml:space="preserve"> adapting agricultural production</w:t>
      </w:r>
      <w:r w:rsidR="00F26C8B">
        <w:rPr>
          <w:rFonts w:ascii="Times New Roman" w:hAnsi="Times New Roman" w:cs="Times New Roman"/>
          <w:sz w:val="24"/>
          <w:szCs w:val="24"/>
        </w:rPr>
        <w:t>, processing and marketing of products</w:t>
      </w:r>
      <w:r>
        <w:rPr>
          <w:rFonts w:ascii="Times New Roman" w:hAnsi="Times New Roman" w:cs="Times New Roman"/>
          <w:sz w:val="24"/>
          <w:szCs w:val="24"/>
        </w:rPr>
        <w:t xml:space="preserve"> to</w:t>
      </w:r>
      <w:r w:rsidRPr="36BE81E9">
        <w:rPr>
          <w:rFonts w:ascii="Times New Roman" w:hAnsi="Times New Roman" w:cs="Times New Roman"/>
          <w:sz w:val="24"/>
          <w:szCs w:val="24"/>
        </w:rPr>
        <w:t xml:space="preserve"> climate change </w:t>
      </w:r>
      <w:r>
        <w:rPr>
          <w:rFonts w:ascii="Times New Roman" w:hAnsi="Times New Roman" w:cs="Times New Roman"/>
          <w:sz w:val="24"/>
          <w:szCs w:val="24"/>
        </w:rPr>
        <w:t>effects</w:t>
      </w:r>
      <w:r w:rsidRPr="36BE81E9">
        <w:rPr>
          <w:rFonts w:ascii="Times New Roman" w:hAnsi="Times New Roman" w:cs="Times New Roman"/>
          <w:sz w:val="24"/>
          <w:szCs w:val="24"/>
        </w:rPr>
        <w:t xml:space="preserve"> and sustainable and renewable energy production, building resilience of the sector to address adverse climate change effects, as well as sustainable </w:t>
      </w:r>
      <w:r>
        <w:rPr>
          <w:rFonts w:ascii="Times New Roman" w:hAnsi="Times New Roman" w:cs="Times New Roman"/>
          <w:sz w:val="24"/>
          <w:szCs w:val="24"/>
        </w:rPr>
        <w:t xml:space="preserve">integrated </w:t>
      </w:r>
      <w:r w:rsidRPr="36BE81E9">
        <w:rPr>
          <w:rFonts w:ascii="Times New Roman" w:hAnsi="Times New Roman" w:cs="Times New Roman"/>
          <w:sz w:val="24"/>
          <w:szCs w:val="24"/>
        </w:rPr>
        <w:t>management of soil, water and air. Finally, the IPA III programmes will enhance social capital in rural areas and together with the ‘support for institution building’ help ensure the application of good governance standards of a modern public administration in the structures for agriculture and rural development.</w:t>
      </w:r>
    </w:p>
    <w:p w14:paraId="31B7EA33" w14:textId="4F65BD1F"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Further assistance will be needed to strengthen administrations at all level in order to meet the EU accession requirements. This entails continuing the support for the alignment with and the implementation of the EU legal framework in the field of agriculture and rural development and the relevant veterinary, food safety and phytosanitary standards (SPS standards), including overall well-functioning control systems</w:t>
      </w:r>
      <w:r>
        <w:rPr>
          <w:rFonts w:ascii="Times New Roman" w:hAnsi="Times New Roman" w:cs="Times New Roman"/>
          <w:sz w:val="24"/>
          <w:szCs w:val="24"/>
        </w:rPr>
        <w:t xml:space="preserve"> and accredited laboratories</w:t>
      </w:r>
      <w:r w:rsidRPr="36BE81E9">
        <w:rPr>
          <w:rFonts w:ascii="Times New Roman" w:hAnsi="Times New Roman" w:cs="Times New Roman"/>
          <w:sz w:val="24"/>
          <w:szCs w:val="24"/>
        </w:rPr>
        <w:t>. Structures and systems should be established or further developed for the management, implementation and control of the Common Agricultural Policy (CAP), in particular the various elements of the Integrated and Administrative Control System (land parcel identification</w:t>
      </w:r>
      <w:r w:rsidR="000744C6">
        <w:rPr>
          <w:rFonts w:ascii="Times New Roman" w:hAnsi="Times New Roman" w:cs="Times New Roman"/>
          <w:sz w:val="24"/>
          <w:szCs w:val="24"/>
        </w:rPr>
        <w:t xml:space="preserve"> system, farm and</w:t>
      </w:r>
      <w:r w:rsidRPr="36BE81E9">
        <w:rPr>
          <w:rFonts w:ascii="Times New Roman" w:hAnsi="Times New Roman" w:cs="Times New Roman"/>
          <w:sz w:val="24"/>
          <w:szCs w:val="24"/>
        </w:rPr>
        <w:t xml:space="preserve"> animal register) and capacities developed to implementing the common market organisation for agricultural products. </w:t>
      </w:r>
    </w:p>
    <w:p w14:paraId="77A07892"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For agriculture and rural development, considerable amount of actions will be implemented through indirect management, on the basis of the national multiannual Rural Development Programme (IPARD) through a set of measures further specified in the Sectoral Agreement. These programmes shall be based on relevant priorities set out in the sector strategies. The programmes shall be prepared by the Managing Authority and implemented through management and control systems, which are compliant with good governance standards of a modern public administration.</w:t>
      </w:r>
    </w:p>
    <w:p w14:paraId="623E7545" w14:textId="6ECF959D"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Natural r</w:t>
      </w:r>
      <w:r w:rsidR="000744C6">
        <w:rPr>
          <w:rFonts w:ascii="Times New Roman" w:hAnsi="Times New Roman" w:cs="Times New Roman"/>
          <w:sz w:val="24"/>
          <w:szCs w:val="24"/>
        </w:rPr>
        <w:t>esources should be managed</w:t>
      </w:r>
      <w:r w:rsidRPr="36BE81E9">
        <w:rPr>
          <w:rFonts w:ascii="Times New Roman" w:hAnsi="Times New Roman" w:cs="Times New Roman"/>
          <w:sz w:val="24"/>
          <w:szCs w:val="24"/>
        </w:rPr>
        <w:t xml:space="preserve"> to reinforce the sustainability of their conservation. Particular vulnerabilities of ecosystems and rural environments triggered by climate change consequences should be anticipated and addressed</w:t>
      </w:r>
      <w:r>
        <w:rPr>
          <w:rFonts w:ascii="Times New Roman" w:hAnsi="Times New Roman" w:cs="Times New Roman"/>
          <w:sz w:val="24"/>
          <w:szCs w:val="24"/>
        </w:rPr>
        <w:t xml:space="preserve"> in line with the goals of the European Green Deal</w:t>
      </w:r>
      <w:r w:rsidRPr="36BE81E9">
        <w:rPr>
          <w:rFonts w:ascii="Times New Roman" w:hAnsi="Times New Roman" w:cs="Times New Roman"/>
          <w:sz w:val="24"/>
          <w:szCs w:val="24"/>
        </w:rPr>
        <w:t>.</w:t>
      </w:r>
    </w:p>
    <w:p w14:paraId="1125B834"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Agriculture and forestry play a crucial role in the global greenhouse gas budget, as source and sink and holds an important carbon stock in biomass and soils. IPA III will contribute to unleashing the sectors’ potential to contribute to greenhouse gas emission reduction and carbon sequestration in a sustainable manner.</w:t>
      </w:r>
    </w:p>
    <w:p w14:paraId="6F185816" w14:textId="23DF336A"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main concerned chapters of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 xml:space="preserve">acquis </w:t>
      </w:r>
      <w:r w:rsidRPr="36BE81E9">
        <w:rPr>
          <w:rFonts w:ascii="Times New Roman" w:eastAsia="Calibri" w:hAnsi="Times New Roman" w:cs="Times New Roman"/>
          <w:sz w:val="24"/>
          <w:szCs w:val="24"/>
        </w:rPr>
        <w:t>under</w:t>
      </w:r>
      <w:r>
        <w:rPr>
          <w:rFonts w:ascii="Times New Roman" w:eastAsia="Calibri" w:hAnsi="Times New Roman" w:cs="Times New Roman"/>
          <w:sz w:val="24"/>
          <w:szCs w:val="24"/>
        </w:rPr>
        <w:t xml:space="preserve"> this section are: chapter 11 (Ag</w:t>
      </w:r>
      <w:r w:rsidRPr="36BE81E9">
        <w:rPr>
          <w:rFonts w:ascii="Times New Roman" w:eastAsia="Calibri" w:hAnsi="Times New Roman" w:cs="Times New Roman"/>
          <w:sz w:val="24"/>
          <w:szCs w:val="24"/>
        </w:rPr>
        <w:t>riculture and rural development), chapter 12 (Food safety, veterinary and phytosanitary policy)</w:t>
      </w:r>
      <w:r w:rsidR="00672CD3" w:rsidRPr="00B21938">
        <w:rPr>
          <w:rFonts w:ascii="Times New Roman" w:eastAsia="Calibri" w:hAnsi="Times New Roman" w:cs="Times New Roman"/>
          <w:sz w:val="24"/>
          <w:szCs w:val="24"/>
          <w:lang w:val="en-US"/>
        </w:rPr>
        <w:t xml:space="preserve">, </w:t>
      </w:r>
      <w:r w:rsidR="00672CD3">
        <w:rPr>
          <w:rFonts w:ascii="Times New Roman" w:eastAsia="Calibri" w:hAnsi="Times New Roman" w:cs="Times New Roman"/>
          <w:sz w:val="24"/>
          <w:szCs w:val="24"/>
          <w:lang w:val="en-US"/>
        </w:rPr>
        <w:t>within cluster 5 (</w:t>
      </w:r>
      <w:r w:rsidR="00672CD3" w:rsidRPr="0066289A">
        <w:rPr>
          <w:rFonts w:ascii="Times New Roman" w:hAnsi="Times New Roman" w:cs="Times New Roman"/>
          <w:color w:val="000000"/>
          <w:sz w:val="24"/>
          <w:szCs w:val="24"/>
          <w:lang w:val="en-US"/>
        </w:rPr>
        <w:t>Resources, agriculture and cohesion)</w:t>
      </w:r>
      <w:r>
        <w:rPr>
          <w:rFonts w:ascii="Times New Roman" w:eastAsia="Calibri" w:hAnsi="Times New Roman" w:cs="Times New Roman"/>
          <w:sz w:val="24"/>
          <w:szCs w:val="24"/>
        </w:rPr>
        <w:t>.</w:t>
      </w:r>
      <w:r w:rsidRPr="36BE81E9">
        <w:rPr>
          <w:rFonts w:ascii="Times New Roman" w:eastAsia="Calibri" w:hAnsi="Times New Roman" w:cs="Times New Roman"/>
          <w:sz w:val="24"/>
          <w:szCs w:val="24"/>
        </w:rPr>
        <w:t xml:space="preserve"> </w:t>
      </w:r>
    </w:p>
    <w:p w14:paraId="13F842D9" w14:textId="77777777" w:rsidR="005739B7" w:rsidRDefault="005739B7" w:rsidP="005739B7">
      <w:pPr>
        <w:spacing w:after="120" w:line="240" w:lineRule="auto"/>
        <w:jc w:val="both"/>
        <w:rPr>
          <w:rFonts w:ascii="Times New Roman" w:hAnsi="Times New Roman" w:cs="Times New Roman"/>
          <w:i/>
          <w:iCs/>
          <w:sz w:val="24"/>
          <w:szCs w:val="24"/>
        </w:rPr>
      </w:pPr>
      <w:r w:rsidRPr="36BE81E9">
        <w:rPr>
          <w:rFonts w:ascii="Times New Roman" w:hAnsi="Times New Roman" w:cs="Times New Roman"/>
          <w:i/>
          <w:iCs/>
          <w:sz w:val="24"/>
          <w:szCs w:val="24"/>
        </w:rPr>
        <w:t>Thematic Priority 4: Fisheries</w:t>
      </w:r>
    </w:p>
    <w:p w14:paraId="3629463D" w14:textId="63A38A9D" w:rsidR="005739B7" w:rsidRPr="005742F9" w:rsidRDefault="005739B7" w:rsidP="005739B7">
      <w:pPr>
        <w:widowControl w:val="0"/>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specific objective of IPA III in this area is to increase the ability to cope with competitive pressure and market forces, </w:t>
      </w:r>
      <w:r>
        <w:rPr>
          <w:rFonts w:ascii="Times New Roman" w:hAnsi="Times New Roman" w:cs="Times New Roman"/>
          <w:sz w:val="24"/>
          <w:szCs w:val="24"/>
        </w:rPr>
        <w:t>and</w:t>
      </w:r>
      <w:r w:rsidRPr="36BE81E9">
        <w:rPr>
          <w:rFonts w:ascii="Times New Roman" w:hAnsi="Times New Roman" w:cs="Times New Roman"/>
          <w:sz w:val="24"/>
          <w:szCs w:val="24"/>
        </w:rPr>
        <w:t xml:space="preserve"> to progressively align with the Union rules and standards</w:t>
      </w:r>
      <w:r w:rsidR="00813223" w:rsidRPr="00813223">
        <w:rPr>
          <w:rFonts w:ascii="Times New Roman" w:hAnsi="Times New Roman" w:cs="Times New Roman"/>
          <w:sz w:val="24"/>
          <w:szCs w:val="24"/>
        </w:rPr>
        <w:t xml:space="preserve"> </w:t>
      </w:r>
      <w:r w:rsidR="00813223">
        <w:rPr>
          <w:rFonts w:ascii="Times New Roman" w:hAnsi="Times New Roman" w:cs="Times New Roman"/>
          <w:sz w:val="24"/>
          <w:szCs w:val="24"/>
        </w:rPr>
        <w:t>and to promote aquaculture</w:t>
      </w:r>
      <w:r w:rsidRPr="36BE81E9">
        <w:rPr>
          <w:rFonts w:ascii="Times New Roman" w:hAnsi="Times New Roman" w:cs="Times New Roman"/>
          <w:sz w:val="24"/>
          <w:szCs w:val="24"/>
        </w:rPr>
        <w:t>.</w:t>
      </w:r>
    </w:p>
    <w:p w14:paraId="68786FF8" w14:textId="1F576C0C" w:rsidR="005739B7" w:rsidRPr="005742F9" w:rsidRDefault="00CB3080" w:rsidP="005739B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management of n</w:t>
      </w:r>
      <w:r w:rsidRPr="00A84A79">
        <w:rPr>
          <w:rFonts w:ascii="Times New Roman" w:hAnsi="Times New Roman" w:cs="Times New Roman"/>
          <w:sz w:val="24"/>
          <w:szCs w:val="24"/>
        </w:rPr>
        <w:t>atural re</w:t>
      </w:r>
      <w:r>
        <w:rPr>
          <w:rFonts w:ascii="Times New Roman" w:hAnsi="Times New Roman" w:cs="Times New Roman"/>
          <w:sz w:val="24"/>
          <w:szCs w:val="24"/>
        </w:rPr>
        <w:t xml:space="preserve">sources in the fisheries sector should aim at </w:t>
      </w:r>
      <w:r w:rsidRPr="00A84A79">
        <w:rPr>
          <w:rFonts w:ascii="Times New Roman" w:hAnsi="Times New Roman" w:cs="Times New Roman"/>
          <w:sz w:val="24"/>
          <w:szCs w:val="24"/>
        </w:rPr>
        <w:t>reinforc</w:t>
      </w:r>
      <w:r>
        <w:rPr>
          <w:rFonts w:ascii="Times New Roman" w:hAnsi="Times New Roman" w:cs="Times New Roman"/>
          <w:sz w:val="24"/>
          <w:szCs w:val="24"/>
        </w:rPr>
        <w:t>ing</w:t>
      </w:r>
      <w:r w:rsidRPr="00A84A79">
        <w:rPr>
          <w:rFonts w:ascii="Times New Roman" w:hAnsi="Times New Roman" w:cs="Times New Roman"/>
          <w:sz w:val="24"/>
          <w:szCs w:val="24"/>
        </w:rPr>
        <w:t xml:space="preserve"> their sustainability</w:t>
      </w:r>
      <w:r>
        <w:rPr>
          <w:rFonts w:ascii="Times New Roman" w:hAnsi="Times New Roman" w:cs="Times New Roman"/>
          <w:sz w:val="24"/>
          <w:szCs w:val="24"/>
        </w:rPr>
        <w:t>.</w:t>
      </w:r>
      <w:r w:rsidRPr="36BE81E9">
        <w:rPr>
          <w:rFonts w:ascii="Times New Roman" w:hAnsi="Times New Roman" w:cs="Times New Roman"/>
          <w:sz w:val="24"/>
          <w:szCs w:val="24"/>
        </w:rPr>
        <w:t xml:space="preserve"> </w:t>
      </w:r>
      <w:r w:rsidR="005739B7" w:rsidRPr="36BE81E9">
        <w:rPr>
          <w:rFonts w:ascii="Times New Roman" w:hAnsi="Times New Roman" w:cs="Times New Roman"/>
          <w:sz w:val="24"/>
          <w:szCs w:val="24"/>
        </w:rPr>
        <w:t xml:space="preserve">Fisheries </w:t>
      </w:r>
      <w:r w:rsidR="005739B7">
        <w:rPr>
          <w:rFonts w:ascii="Times New Roman" w:hAnsi="Times New Roman" w:cs="Times New Roman"/>
          <w:sz w:val="24"/>
          <w:szCs w:val="24"/>
        </w:rPr>
        <w:t>is</w:t>
      </w:r>
      <w:r w:rsidR="005739B7" w:rsidRPr="36BE81E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5739B7" w:rsidRPr="36BE81E9">
        <w:rPr>
          <w:rFonts w:ascii="Times New Roman" w:hAnsi="Times New Roman" w:cs="Times New Roman"/>
          <w:sz w:val="24"/>
          <w:szCs w:val="24"/>
        </w:rPr>
        <w:t xml:space="preserve">an important industry and </w:t>
      </w:r>
      <w:r w:rsidR="005739B7">
        <w:rPr>
          <w:rFonts w:ascii="Times New Roman" w:hAnsi="Times New Roman" w:cs="Times New Roman"/>
          <w:sz w:val="24"/>
          <w:szCs w:val="24"/>
        </w:rPr>
        <w:t>has</w:t>
      </w:r>
      <w:r w:rsidR="005739B7" w:rsidRPr="36BE81E9">
        <w:rPr>
          <w:rFonts w:ascii="Times New Roman" w:hAnsi="Times New Roman" w:cs="Times New Roman"/>
          <w:sz w:val="24"/>
          <w:szCs w:val="24"/>
        </w:rPr>
        <w:t xml:space="preserve"> a very long-standing activity in the region.</w:t>
      </w:r>
      <w:r w:rsidR="005739B7">
        <w:rPr>
          <w:rFonts w:ascii="Times New Roman" w:hAnsi="Times New Roman" w:cs="Times New Roman"/>
          <w:sz w:val="24"/>
          <w:szCs w:val="24"/>
        </w:rPr>
        <w:t xml:space="preserve"> </w:t>
      </w:r>
      <w:r w:rsidR="00BF46EA">
        <w:rPr>
          <w:rFonts w:ascii="Times New Roman" w:hAnsi="Times New Roman" w:cs="Times New Roman"/>
          <w:sz w:val="24"/>
          <w:szCs w:val="24"/>
        </w:rPr>
        <w:t>Sustainable</w:t>
      </w:r>
      <w:r w:rsidR="00BF46EA" w:rsidRPr="36BE81E9">
        <w:rPr>
          <w:rFonts w:ascii="Times New Roman" w:hAnsi="Times New Roman" w:cs="Times New Roman"/>
          <w:sz w:val="24"/>
          <w:szCs w:val="24"/>
        </w:rPr>
        <w:t xml:space="preserve"> </w:t>
      </w:r>
      <w:r w:rsidR="005739B7" w:rsidRPr="36BE81E9">
        <w:rPr>
          <w:rFonts w:ascii="Times New Roman" w:hAnsi="Times New Roman" w:cs="Times New Roman"/>
          <w:sz w:val="24"/>
          <w:szCs w:val="24"/>
        </w:rPr>
        <w:t xml:space="preserve">exploitation of </w:t>
      </w:r>
      <w:r w:rsidR="00BF46EA">
        <w:rPr>
          <w:rFonts w:ascii="Times New Roman" w:hAnsi="Times New Roman" w:cs="Times New Roman"/>
          <w:sz w:val="24"/>
          <w:szCs w:val="24"/>
        </w:rPr>
        <w:t>living marine</w:t>
      </w:r>
      <w:r w:rsidR="00BF46EA" w:rsidRPr="36BE81E9">
        <w:rPr>
          <w:rFonts w:ascii="Times New Roman" w:hAnsi="Times New Roman" w:cs="Times New Roman"/>
          <w:sz w:val="24"/>
          <w:szCs w:val="24"/>
        </w:rPr>
        <w:t xml:space="preserve"> </w:t>
      </w:r>
      <w:r w:rsidR="005739B7" w:rsidRPr="36BE81E9">
        <w:rPr>
          <w:rFonts w:ascii="Times New Roman" w:hAnsi="Times New Roman" w:cs="Times New Roman"/>
          <w:sz w:val="24"/>
          <w:szCs w:val="24"/>
        </w:rPr>
        <w:t>resources</w:t>
      </w:r>
      <w:r w:rsidR="00BF46EA">
        <w:rPr>
          <w:rFonts w:ascii="Times New Roman" w:hAnsi="Times New Roman" w:cs="Times New Roman"/>
          <w:sz w:val="24"/>
          <w:szCs w:val="24"/>
        </w:rPr>
        <w:t>, sustainable fisheries management and conservation,</w:t>
      </w:r>
      <w:r w:rsidR="005739B7" w:rsidRPr="36BE81E9">
        <w:rPr>
          <w:rFonts w:ascii="Times New Roman" w:hAnsi="Times New Roman" w:cs="Times New Roman"/>
          <w:sz w:val="24"/>
          <w:szCs w:val="24"/>
        </w:rPr>
        <w:t xml:space="preserve"> market regulation</w:t>
      </w:r>
      <w:r w:rsidR="005739B7">
        <w:rPr>
          <w:rFonts w:ascii="Times New Roman" w:hAnsi="Times New Roman" w:cs="Times New Roman"/>
          <w:sz w:val="24"/>
          <w:szCs w:val="24"/>
        </w:rPr>
        <w:t>s</w:t>
      </w:r>
      <w:r w:rsidR="00BF46EA">
        <w:rPr>
          <w:rFonts w:ascii="Times New Roman" w:hAnsi="Times New Roman" w:cs="Times New Roman"/>
          <w:sz w:val="24"/>
          <w:szCs w:val="24"/>
        </w:rPr>
        <w:t xml:space="preserve"> and traceability</w:t>
      </w:r>
      <w:r w:rsidR="005739B7" w:rsidRPr="36BE81E9">
        <w:rPr>
          <w:rFonts w:ascii="Times New Roman" w:hAnsi="Times New Roman" w:cs="Times New Roman"/>
          <w:sz w:val="24"/>
          <w:szCs w:val="24"/>
        </w:rPr>
        <w:t>, structural polic</w:t>
      </w:r>
      <w:r w:rsidR="005739B7">
        <w:rPr>
          <w:rFonts w:ascii="Times New Roman" w:hAnsi="Times New Roman" w:cs="Times New Roman"/>
          <w:sz w:val="24"/>
          <w:szCs w:val="24"/>
        </w:rPr>
        <w:t>ies</w:t>
      </w:r>
      <w:r w:rsidR="005739B7" w:rsidRPr="36BE81E9">
        <w:rPr>
          <w:rFonts w:ascii="Times New Roman" w:hAnsi="Times New Roman" w:cs="Times New Roman"/>
          <w:sz w:val="24"/>
          <w:szCs w:val="24"/>
        </w:rPr>
        <w:t>, oversight, control</w:t>
      </w:r>
      <w:r w:rsidR="00BF46EA">
        <w:rPr>
          <w:rFonts w:ascii="Times New Roman" w:hAnsi="Times New Roman" w:cs="Times New Roman"/>
          <w:sz w:val="24"/>
          <w:szCs w:val="24"/>
        </w:rPr>
        <w:t xml:space="preserve"> and</w:t>
      </w:r>
      <w:r w:rsidR="005739B7" w:rsidRPr="36BE81E9">
        <w:rPr>
          <w:rFonts w:ascii="Times New Roman" w:hAnsi="Times New Roman" w:cs="Times New Roman"/>
          <w:sz w:val="24"/>
          <w:szCs w:val="24"/>
        </w:rPr>
        <w:t xml:space="preserve"> </w:t>
      </w:r>
      <w:r w:rsidR="005739B7" w:rsidRPr="00A84A79">
        <w:rPr>
          <w:rFonts w:ascii="Times New Roman" w:hAnsi="Times New Roman" w:cs="Times New Roman"/>
          <w:sz w:val="24"/>
          <w:szCs w:val="24"/>
        </w:rPr>
        <w:t xml:space="preserve">enforcement, information sharing </w:t>
      </w:r>
      <w:r w:rsidR="005739B7" w:rsidRPr="36BE81E9">
        <w:rPr>
          <w:rFonts w:ascii="Times New Roman" w:hAnsi="Times New Roman" w:cs="Times New Roman"/>
          <w:sz w:val="24"/>
          <w:szCs w:val="24"/>
        </w:rPr>
        <w:t>and cooperation in the area of fisheries</w:t>
      </w:r>
      <w:r w:rsidR="005739B7">
        <w:rPr>
          <w:rFonts w:ascii="Times New Roman" w:hAnsi="Times New Roman" w:cs="Times New Roman"/>
          <w:sz w:val="24"/>
          <w:szCs w:val="24"/>
        </w:rPr>
        <w:t xml:space="preserve">, </w:t>
      </w:r>
      <w:r w:rsidR="005739B7" w:rsidRPr="00A84A79">
        <w:rPr>
          <w:rFonts w:ascii="Times New Roman" w:hAnsi="Times New Roman" w:cs="Times New Roman"/>
          <w:sz w:val="24"/>
          <w:szCs w:val="24"/>
        </w:rPr>
        <w:t>both within Europe and internationally</w:t>
      </w:r>
      <w:r w:rsidR="005739B7">
        <w:rPr>
          <w:rFonts w:ascii="Times New Roman" w:hAnsi="Times New Roman" w:cs="Times New Roman"/>
          <w:sz w:val="24"/>
          <w:szCs w:val="24"/>
        </w:rPr>
        <w:t>,</w:t>
      </w:r>
      <w:r w:rsidR="005739B7" w:rsidRPr="36BE81E9">
        <w:rPr>
          <w:rFonts w:ascii="Times New Roman" w:hAnsi="Times New Roman" w:cs="Times New Roman"/>
          <w:sz w:val="24"/>
          <w:szCs w:val="24"/>
        </w:rPr>
        <w:t xml:space="preserve"> will be addressed to ensure alignment with the EU </w:t>
      </w:r>
      <w:r w:rsidR="005739B7" w:rsidRPr="36BE81E9">
        <w:rPr>
          <w:rFonts w:ascii="Times New Roman" w:hAnsi="Times New Roman" w:cs="Times New Roman"/>
          <w:i/>
          <w:iCs/>
          <w:sz w:val="24"/>
          <w:szCs w:val="24"/>
        </w:rPr>
        <w:t xml:space="preserve">acquis </w:t>
      </w:r>
      <w:r w:rsidR="005739B7" w:rsidRPr="36BE81E9">
        <w:rPr>
          <w:rFonts w:ascii="Times New Roman" w:hAnsi="Times New Roman" w:cs="Times New Roman"/>
          <w:sz w:val="24"/>
          <w:szCs w:val="24"/>
        </w:rPr>
        <w:t>and the Common Fisheries Policy.</w:t>
      </w:r>
      <w:r w:rsidR="005739B7">
        <w:rPr>
          <w:rFonts w:ascii="Times New Roman" w:hAnsi="Times New Roman" w:cs="Times New Roman"/>
          <w:sz w:val="24"/>
          <w:szCs w:val="24"/>
        </w:rPr>
        <w:t xml:space="preserve"> </w:t>
      </w:r>
      <w:r w:rsidR="00BF46EA" w:rsidRPr="00BF46EA">
        <w:rPr>
          <w:rFonts w:ascii="Times New Roman" w:hAnsi="Times New Roman" w:cs="Times New Roman"/>
          <w:sz w:val="24"/>
          <w:szCs w:val="24"/>
        </w:rPr>
        <w:t xml:space="preserve">The new Strategy adopted </w:t>
      </w:r>
      <w:r w:rsidR="00BF46EA">
        <w:rPr>
          <w:rFonts w:ascii="Times New Roman" w:hAnsi="Times New Roman" w:cs="Times New Roman"/>
          <w:sz w:val="24"/>
          <w:szCs w:val="24"/>
        </w:rPr>
        <w:t xml:space="preserve">on </w:t>
      </w:r>
      <w:r w:rsidR="00BF46EA" w:rsidRPr="00BF46EA">
        <w:rPr>
          <w:rFonts w:ascii="Times New Roman" w:hAnsi="Times New Roman" w:cs="Times New Roman"/>
          <w:sz w:val="24"/>
          <w:szCs w:val="24"/>
        </w:rPr>
        <w:t>9 July 2021 under the General Fisheries Commission for the Mediterranean (GFCM) will help strengthen cooperation between the EU and neighbouring countries, in view of ensuring a sustainable management of fisheries and aquaculture in the Mediterranean, as well as the protection of the marine ecosystem.</w:t>
      </w:r>
    </w:p>
    <w:p w14:paraId="6F6C66D1" w14:textId="06B34B72" w:rsidR="005739B7" w:rsidRPr="005742F9" w:rsidRDefault="005739B7" w:rsidP="005739B7">
      <w:pPr>
        <w:spacing w:after="120" w:line="240" w:lineRule="auto"/>
        <w:jc w:val="both"/>
        <w:rPr>
          <w:rFonts w:ascii="Times New Roman" w:eastAsia="Calibri" w:hAnsi="Times New Roman" w:cs="Times New Roman"/>
          <w:sz w:val="24"/>
          <w:szCs w:val="24"/>
        </w:rPr>
      </w:pPr>
      <w:r w:rsidRPr="36BE81E9">
        <w:rPr>
          <w:rFonts w:ascii="Times New Roman" w:eastAsia="Calibri" w:hAnsi="Times New Roman" w:cs="Times New Roman"/>
          <w:sz w:val="24"/>
          <w:szCs w:val="24"/>
        </w:rPr>
        <w:t xml:space="preserve">The main concerned chapter of the </w:t>
      </w:r>
      <w:r>
        <w:rPr>
          <w:rFonts w:ascii="Times New Roman" w:eastAsia="Calibri" w:hAnsi="Times New Roman" w:cs="Times New Roman"/>
          <w:sz w:val="24"/>
          <w:szCs w:val="24"/>
        </w:rPr>
        <w:t xml:space="preserve">EU </w:t>
      </w:r>
      <w:r w:rsidRPr="36BE81E9">
        <w:rPr>
          <w:rFonts w:ascii="Times New Roman" w:eastAsia="Calibri" w:hAnsi="Times New Roman" w:cs="Times New Roman"/>
          <w:i/>
          <w:iCs/>
          <w:sz w:val="24"/>
          <w:szCs w:val="24"/>
        </w:rPr>
        <w:t xml:space="preserve">acquis </w:t>
      </w:r>
      <w:r w:rsidRPr="36BE81E9">
        <w:rPr>
          <w:rFonts w:ascii="Times New Roman" w:eastAsia="Calibri" w:hAnsi="Times New Roman" w:cs="Times New Roman"/>
          <w:sz w:val="24"/>
          <w:szCs w:val="24"/>
        </w:rPr>
        <w:t>under this section is chapter 13 (Fisheries)</w:t>
      </w:r>
      <w:r w:rsidR="00672CD3" w:rsidRPr="00B21938">
        <w:rPr>
          <w:rFonts w:ascii="Times New Roman" w:eastAsia="Calibri" w:hAnsi="Times New Roman" w:cs="Times New Roman"/>
          <w:sz w:val="24"/>
          <w:szCs w:val="24"/>
          <w:lang w:val="en-US"/>
        </w:rPr>
        <w:t xml:space="preserve">, </w:t>
      </w:r>
      <w:r w:rsidR="00672CD3">
        <w:rPr>
          <w:rFonts w:ascii="Times New Roman" w:eastAsia="Calibri" w:hAnsi="Times New Roman" w:cs="Times New Roman"/>
          <w:sz w:val="24"/>
          <w:szCs w:val="24"/>
          <w:lang w:val="en-US"/>
        </w:rPr>
        <w:t>within cluster 5 (</w:t>
      </w:r>
      <w:r w:rsidR="00672CD3" w:rsidRPr="003F13D7">
        <w:rPr>
          <w:rFonts w:ascii="Times New Roman" w:hAnsi="Times New Roman" w:cs="Times New Roman"/>
          <w:color w:val="000000"/>
          <w:sz w:val="24"/>
          <w:szCs w:val="24"/>
          <w:lang w:val="en-US"/>
        </w:rPr>
        <w:t>Resources, agriculture and cohesion)</w:t>
      </w:r>
      <w:r w:rsidRPr="36BE81E9">
        <w:rPr>
          <w:rFonts w:ascii="Times New Roman" w:eastAsia="Calibri" w:hAnsi="Times New Roman" w:cs="Times New Roman"/>
          <w:sz w:val="24"/>
          <w:szCs w:val="24"/>
        </w:rPr>
        <w:t xml:space="preserve">. </w:t>
      </w:r>
    </w:p>
    <w:p w14:paraId="2CB14515" w14:textId="77777777" w:rsidR="005739B7" w:rsidRPr="005742F9" w:rsidRDefault="005739B7" w:rsidP="005739B7">
      <w:pPr>
        <w:spacing w:after="120" w:line="240" w:lineRule="auto"/>
        <w:jc w:val="both"/>
        <w:rPr>
          <w:rFonts w:ascii="Times New Roman" w:hAnsi="Times New Roman" w:cs="Times New Roman"/>
          <w:i/>
          <w:sz w:val="24"/>
          <w:szCs w:val="24"/>
        </w:rPr>
      </w:pPr>
    </w:p>
    <w:p w14:paraId="27B3F280" w14:textId="5F1F38E4" w:rsidR="005739B7" w:rsidRDefault="005739B7" w:rsidP="005739B7">
      <w:pPr>
        <w:numPr>
          <w:ilvl w:val="0"/>
          <w:numId w:val="15"/>
        </w:numPr>
        <w:spacing w:after="120" w:line="240" w:lineRule="auto"/>
        <w:rPr>
          <w:rFonts w:ascii="Times New Roman" w:hAnsi="Times New Roman" w:cs="Times New Roman"/>
          <w:b/>
          <w:bCs/>
          <w:sz w:val="24"/>
          <w:szCs w:val="24"/>
        </w:rPr>
      </w:pPr>
      <w:r w:rsidRPr="36BE81E9">
        <w:rPr>
          <w:rFonts w:ascii="Times New Roman" w:hAnsi="Times New Roman" w:cs="Times New Roman"/>
          <w:b/>
          <w:bCs/>
          <w:sz w:val="24"/>
          <w:szCs w:val="24"/>
        </w:rPr>
        <w:t>Indicators</w:t>
      </w:r>
      <w:r w:rsidR="00120418">
        <w:rPr>
          <w:rStyle w:val="DipnotBavurusu"/>
          <w:rFonts w:ascii="Times New Roman" w:hAnsi="Times New Roman" w:cs="Times New Roman"/>
          <w:b/>
          <w:bCs/>
          <w:sz w:val="24"/>
          <w:szCs w:val="24"/>
        </w:rPr>
        <w:footnoteReference w:id="41"/>
      </w:r>
    </w:p>
    <w:p w14:paraId="3D6AD0FF" w14:textId="22AEC72C" w:rsidR="005739B7" w:rsidRPr="00270B55" w:rsidRDefault="005739B7" w:rsidP="005739B7">
      <w:pPr>
        <w:numPr>
          <w:ilvl w:val="0"/>
          <w:numId w:val="1"/>
        </w:numPr>
        <w:spacing w:after="120" w:line="240" w:lineRule="auto"/>
        <w:jc w:val="both"/>
        <w:rPr>
          <w:rFonts w:ascii="Times New Roman" w:hAnsi="Times New Roman" w:cs="Times New Roman"/>
          <w:sz w:val="24"/>
          <w:szCs w:val="24"/>
        </w:rPr>
      </w:pPr>
      <w:r w:rsidRPr="00270B55">
        <w:rPr>
          <w:rFonts w:ascii="Times New Roman" w:hAnsi="Times New Roman" w:cs="Times New Roman"/>
          <w:sz w:val="24"/>
          <w:szCs w:val="24"/>
        </w:rPr>
        <w:t xml:space="preserve">Readiness of </w:t>
      </w:r>
      <w:r>
        <w:rPr>
          <w:rFonts w:ascii="Times New Roman" w:hAnsi="Times New Roman" w:cs="Times New Roman"/>
          <w:sz w:val="24"/>
          <w:szCs w:val="24"/>
        </w:rPr>
        <w:t>candidate countries and potential candidates on economic criteria</w:t>
      </w:r>
      <w:r w:rsidRPr="00270B55">
        <w:rPr>
          <w:rFonts w:ascii="Times New Roman" w:hAnsi="Times New Roman" w:cs="Times New Roman"/>
          <w:sz w:val="24"/>
          <w:szCs w:val="24"/>
        </w:rPr>
        <w:t xml:space="preserve"> </w:t>
      </w:r>
      <w:r>
        <w:rPr>
          <w:rFonts w:ascii="Times New Roman" w:hAnsi="Times New Roman" w:cs="Times New Roman"/>
          <w:sz w:val="24"/>
          <w:szCs w:val="24"/>
        </w:rPr>
        <w:t xml:space="preserve">(source: European Commission) - </w:t>
      </w:r>
      <w:r w:rsidRPr="005742F9">
        <w:rPr>
          <w:rFonts w:ascii="Times New Roman" w:hAnsi="Times New Roman" w:cs="Times New Roman"/>
          <w:sz w:val="24"/>
          <w:szCs w:val="24"/>
        </w:rPr>
        <w:t xml:space="preserve">KPI 4 of IPA III </w:t>
      </w:r>
      <w:r w:rsidR="006C1F2B">
        <w:rPr>
          <w:rFonts w:ascii="Times New Roman" w:hAnsi="Times New Roman" w:cs="Times New Roman"/>
          <w:sz w:val="24"/>
          <w:szCs w:val="24"/>
        </w:rPr>
        <w:t>Regulation</w:t>
      </w:r>
      <w:r w:rsidR="006C1F2B" w:rsidRPr="005742F9">
        <w:rPr>
          <w:rFonts w:ascii="Times New Roman" w:hAnsi="Times New Roman" w:cs="Times New Roman"/>
          <w:sz w:val="24"/>
          <w:szCs w:val="24"/>
        </w:rPr>
        <w:t xml:space="preserve"> </w:t>
      </w:r>
    </w:p>
    <w:p w14:paraId="45E09ED4" w14:textId="163A1B04"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sidR="00507C1A">
        <w:rPr>
          <w:rFonts w:ascii="Times New Roman" w:hAnsi="Times New Roman" w:cs="Times New Roman"/>
          <w:sz w:val="24"/>
          <w:szCs w:val="24"/>
        </w:rPr>
        <w:t>8</w:t>
      </w:r>
      <w:r w:rsidRPr="006F3F22">
        <w:rPr>
          <w:rFonts w:ascii="Times New Roman" w:hAnsi="Times New Roman" w:cs="Times New Roman"/>
          <w:sz w:val="24"/>
          <w:szCs w:val="24"/>
        </w:rPr>
        <w:t>): Western Balkans (</w:t>
      </w:r>
      <w:r w:rsidR="00507C1A">
        <w:rPr>
          <w:rFonts w:ascii="Times New Roman" w:hAnsi="Times New Roman" w:cs="Times New Roman"/>
          <w:sz w:val="24"/>
          <w:szCs w:val="24"/>
        </w:rPr>
        <w:t>2.3</w:t>
      </w:r>
      <w:r w:rsidRPr="006F3F22">
        <w:rPr>
          <w:rFonts w:ascii="Times New Roman" w:hAnsi="Times New Roman" w:cs="Times New Roman"/>
          <w:sz w:val="24"/>
          <w:szCs w:val="24"/>
        </w:rPr>
        <w:t>) and Turkey (</w:t>
      </w:r>
      <w:r w:rsidR="00507C1A">
        <w:rPr>
          <w:rFonts w:ascii="Times New Roman" w:hAnsi="Times New Roman" w:cs="Times New Roman"/>
          <w:sz w:val="24"/>
          <w:szCs w:val="24"/>
        </w:rPr>
        <w:t>4.5</w:t>
      </w:r>
      <w:r w:rsidRPr="006F3F22">
        <w:rPr>
          <w:rFonts w:ascii="Times New Roman" w:hAnsi="Times New Roman" w:cs="Times New Roman"/>
          <w:sz w:val="24"/>
          <w:szCs w:val="24"/>
        </w:rPr>
        <w:t>)</w:t>
      </w:r>
    </w:p>
    <w:p w14:paraId="5539FCD6" w14:textId="696504E8"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Western Balkans (</w:t>
      </w:r>
      <w:r w:rsidR="00507C1A">
        <w:rPr>
          <w:rFonts w:ascii="Times New Roman" w:hAnsi="Times New Roman" w:cs="Times New Roman"/>
          <w:sz w:val="24"/>
          <w:szCs w:val="24"/>
        </w:rPr>
        <w:t>Increase</w:t>
      </w:r>
      <w:r>
        <w:rPr>
          <w:rFonts w:ascii="Times New Roman" w:hAnsi="Times New Roman" w:cs="Times New Roman"/>
          <w:sz w:val="24"/>
          <w:szCs w:val="24"/>
        </w:rPr>
        <w:t>) and Turkey (</w:t>
      </w:r>
      <w:r w:rsidR="00507C1A">
        <w:rPr>
          <w:rFonts w:ascii="Times New Roman" w:hAnsi="Times New Roman" w:cs="Times New Roman"/>
          <w:sz w:val="24"/>
          <w:szCs w:val="24"/>
        </w:rPr>
        <w:t>Increase</w:t>
      </w:r>
      <w:r>
        <w:rPr>
          <w:rFonts w:ascii="Times New Roman" w:hAnsi="Times New Roman" w:cs="Times New Roman"/>
          <w:sz w:val="24"/>
          <w:szCs w:val="24"/>
        </w:rPr>
        <w:t>)</w:t>
      </w:r>
    </w:p>
    <w:p w14:paraId="2CA58512" w14:textId="5FD08181" w:rsidR="005739B7" w:rsidRDefault="005739B7" w:rsidP="005739B7">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507C1A">
        <w:rPr>
          <w:rFonts w:ascii="Times New Roman" w:hAnsi="Times New Roman" w:cs="Times New Roman"/>
          <w:sz w:val="24"/>
          <w:szCs w:val="24"/>
        </w:rPr>
        <w:t>Increase</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00507C1A">
        <w:rPr>
          <w:rFonts w:ascii="Times New Roman" w:hAnsi="Times New Roman" w:cs="Times New Roman"/>
          <w:sz w:val="24"/>
          <w:szCs w:val="24"/>
        </w:rPr>
        <w:t>Increase</w:t>
      </w:r>
      <w:r>
        <w:rPr>
          <w:rFonts w:ascii="Times New Roman" w:eastAsia="Times New Roman" w:hAnsi="Times New Roman" w:cs="Times New Roman"/>
          <w:iCs/>
          <w:sz w:val="24"/>
          <w:szCs w:val="24"/>
        </w:rPr>
        <w:t>)</w:t>
      </w:r>
    </w:p>
    <w:p w14:paraId="37B5E62F" w14:textId="5EC0E26A" w:rsidR="005739B7" w:rsidRPr="005742F9" w:rsidRDefault="00A3528B" w:rsidP="005739B7">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Global </w:t>
      </w:r>
      <w:r w:rsidR="005739B7" w:rsidRPr="005742F9">
        <w:rPr>
          <w:rFonts w:ascii="Times New Roman" w:hAnsi="Times New Roman" w:cs="Times New Roman"/>
          <w:sz w:val="24"/>
          <w:szCs w:val="24"/>
        </w:rPr>
        <w:t>Competitiveness Index (as measured by the World Economic Forum)</w:t>
      </w:r>
    </w:p>
    <w:p w14:paraId="584C5E02" w14:textId="7A5401AB"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sidR="00507C1A">
        <w:rPr>
          <w:rFonts w:ascii="Times New Roman" w:hAnsi="Times New Roman" w:cs="Times New Roman"/>
          <w:sz w:val="24"/>
          <w:szCs w:val="24"/>
        </w:rPr>
        <w:t>9</w:t>
      </w:r>
      <w:r w:rsidRPr="006F3F22">
        <w:rPr>
          <w:rFonts w:ascii="Times New Roman" w:hAnsi="Times New Roman" w:cs="Times New Roman"/>
          <w:sz w:val="24"/>
          <w:szCs w:val="24"/>
        </w:rPr>
        <w:t>): Western Balkans (</w:t>
      </w:r>
      <w:r w:rsidR="00507C1A" w:rsidRPr="00507C1A">
        <w:rPr>
          <w:rFonts w:ascii="Times New Roman" w:hAnsi="Times New Roman" w:cs="Times New Roman"/>
          <w:sz w:val="24"/>
          <w:szCs w:val="24"/>
        </w:rPr>
        <w:t>58,26</w:t>
      </w:r>
      <w:r w:rsidRPr="006F3F22">
        <w:rPr>
          <w:rFonts w:ascii="Times New Roman" w:hAnsi="Times New Roman" w:cs="Times New Roman"/>
          <w:sz w:val="24"/>
          <w:szCs w:val="24"/>
        </w:rPr>
        <w:t>) and Turkey (</w:t>
      </w:r>
      <w:r w:rsidR="00507C1A" w:rsidRPr="00507C1A">
        <w:rPr>
          <w:rFonts w:ascii="Times New Roman" w:hAnsi="Times New Roman" w:cs="Times New Roman"/>
          <w:sz w:val="24"/>
          <w:szCs w:val="24"/>
        </w:rPr>
        <w:t>62,1</w:t>
      </w:r>
      <w:r w:rsidRPr="006F3F22">
        <w:rPr>
          <w:rFonts w:ascii="Times New Roman" w:hAnsi="Times New Roman" w:cs="Times New Roman"/>
          <w:sz w:val="24"/>
          <w:szCs w:val="24"/>
        </w:rPr>
        <w:t>)</w:t>
      </w:r>
    </w:p>
    <w:p w14:paraId="04BF50C4" w14:textId="044562E3"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Western Balkans (</w:t>
      </w:r>
      <w:r w:rsidR="00507C1A" w:rsidRPr="00507C1A">
        <w:rPr>
          <w:rFonts w:ascii="Times New Roman" w:hAnsi="Times New Roman" w:cs="Times New Roman"/>
          <w:sz w:val="24"/>
          <w:szCs w:val="24"/>
        </w:rPr>
        <w:t>59,50</w:t>
      </w:r>
      <w:r w:rsidRPr="006F3F22">
        <w:rPr>
          <w:rFonts w:ascii="Times New Roman" w:hAnsi="Times New Roman" w:cs="Times New Roman"/>
          <w:sz w:val="24"/>
          <w:szCs w:val="24"/>
        </w:rPr>
        <w:t>) and Turkey</w:t>
      </w:r>
      <w:r>
        <w:rPr>
          <w:rFonts w:ascii="Times New Roman" w:hAnsi="Times New Roman" w:cs="Times New Roman"/>
          <w:sz w:val="24"/>
          <w:szCs w:val="24"/>
        </w:rPr>
        <w:t xml:space="preserve"> (</w:t>
      </w:r>
      <w:r w:rsidR="00507C1A" w:rsidRPr="00507C1A">
        <w:rPr>
          <w:rFonts w:ascii="Times New Roman" w:hAnsi="Times New Roman" w:cs="Times New Roman"/>
          <w:sz w:val="24"/>
          <w:szCs w:val="24"/>
        </w:rPr>
        <w:t>64,00</w:t>
      </w:r>
      <w:r>
        <w:rPr>
          <w:rFonts w:ascii="Times New Roman" w:hAnsi="Times New Roman" w:cs="Times New Roman"/>
          <w:sz w:val="24"/>
          <w:szCs w:val="24"/>
        </w:rPr>
        <w:t>)</w:t>
      </w:r>
    </w:p>
    <w:p w14:paraId="3A8A211B" w14:textId="1955DCB0" w:rsidR="005739B7" w:rsidRDefault="005739B7" w:rsidP="005739B7">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507C1A" w:rsidRPr="00507C1A">
        <w:rPr>
          <w:rFonts w:ascii="Times New Roman" w:hAnsi="Times New Roman" w:cs="Times New Roman"/>
          <w:sz w:val="24"/>
          <w:szCs w:val="24"/>
        </w:rPr>
        <w:t>61,00</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00507C1A" w:rsidRPr="00507C1A">
        <w:rPr>
          <w:rFonts w:ascii="Times New Roman" w:eastAsia="Times New Roman" w:hAnsi="Times New Roman" w:cs="Times New Roman"/>
          <w:iCs/>
          <w:sz w:val="24"/>
          <w:szCs w:val="24"/>
        </w:rPr>
        <w:t>66,00</w:t>
      </w:r>
      <w:r>
        <w:rPr>
          <w:rFonts w:ascii="Times New Roman" w:eastAsia="Times New Roman" w:hAnsi="Times New Roman" w:cs="Times New Roman"/>
          <w:iCs/>
          <w:sz w:val="24"/>
          <w:szCs w:val="24"/>
        </w:rPr>
        <w:t>)</w:t>
      </w:r>
    </w:p>
    <w:p w14:paraId="6024E199" w14:textId="77777777" w:rsidR="005739B7" w:rsidRDefault="005739B7" w:rsidP="005739B7">
      <w:pPr>
        <w:spacing w:after="120" w:line="240" w:lineRule="auto"/>
        <w:jc w:val="both"/>
        <w:rPr>
          <w:rFonts w:ascii="Times New Roman" w:hAnsi="Times New Roman" w:cs="Times New Roman"/>
          <w:i/>
          <w:iCs/>
          <w:sz w:val="24"/>
          <w:szCs w:val="24"/>
        </w:rPr>
      </w:pPr>
      <w:r w:rsidRPr="005742F9">
        <w:rPr>
          <w:rFonts w:ascii="Times New Roman" w:hAnsi="Times New Roman" w:cs="Times New Roman"/>
          <w:i/>
          <w:iCs/>
          <w:sz w:val="24"/>
          <w:szCs w:val="24"/>
        </w:rPr>
        <w:t>Thematic Priority 1: Education, employment, social protection and inclusion policies, and health</w:t>
      </w:r>
    </w:p>
    <w:p w14:paraId="01EF8DCB" w14:textId="38C6AFAB" w:rsidR="005739B7" w:rsidRPr="005742F9" w:rsidRDefault="005739B7" w:rsidP="005739B7">
      <w:pPr>
        <w:numPr>
          <w:ilvl w:val="0"/>
          <w:numId w:val="1"/>
        </w:num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Percentage of under-performers in </w:t>
      </w:r>
      <w:r w:rsidR="009A22BA">
        <w:rPr>
          <w:rFonts w:ascii="Times New Roman" w:hAnsi="Times New Roman" w:cs="Times New Roman"/>
          <w:sz w:val="24"/>
          <w:szCs w:val="24"/>
        </w:rPr>
        <w:t xml:space="preserve">all three subjects of </w:t>
      </w:r>
      <w:r w:rsidRPr="005742F9">
        <w:rPr>
          <w:rFonts w:ascii="Times New Roman" w:hAnsi="Times New Roman" w:cs="Times New Roman"/>
          <w:sz w:val="24"/>
          <w:szCs w:val="24"/>
        </w:rPr>
        <w:t>PISA (Source of verification OECD)</w:t>
      </w:r>
    </w:p>
    <w:p w14:paraId="5E1F44BD" w14:textId="1EE16BBA"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sidR="001D6265">
        <w:rPr>
          <w:rFonts w:ascii="Times New Roman" w:hAnsi="Times New Roman" w:cs="Times New Roman"/>
          <w:sz w:val="24"/>
          <w:szCs w:val="24"/>
        </w:rPr>
        <w:t>8</w:t>
      </w:r>
      <w:r w:rsidRPr="006F3F22">
        <w:rPr>
          <w:rFonts w:ascii="Times New Roman" w:hAnsi="Times New Roman" w:cs="Times New Roman"/>
          <w:sz w:val="24"/>
          <w:szCs w:val="24"/>
        </w:rPr>
        <w:t>): Western Balkans (</w:t>
      </w:r>
      <w:r w:rsidR="001D6265" w:rsidRPr="001D6265">
        <w:rPr>
          <w:rFonts w:ascii="Times New Roman" w:hAnsi="Times New Roman" w:cs="Times New Roman"/>
          <w:sz w:val="24"/>
          <w:szCs w:val="24"/>
        </w:rPr>
        <w:t>38,7</w:t>
      </w:r>
      <w:r w:rsidRPr="006F3F22">
        <w:rPr>
          <w:rFonts w:ascii="Times New Roman" w:hAnsi="Times New Roman" w:cs="Times New Roman"/>
          <w:sz w:val="24"/>
          <w:szCs w:val="24"/>
        </w:rPr>
        <w:t>) and Turkey (</w:t>
      </w:r>
      <w:r w:rsidR="001D6265" w:rsidRPr="001D6265">
        <w:rPr>
          <w:rFonts w:ascii="Times New Roman" w:hAnsi="Times New Roman" w:cs="Times New Roman"/>
          <w:sz w:val="24"/>
          <w:szCs w:val="24"/>
        </w:rPr>
        <w:t>17,1</w:t>
      </w:r>
      <w:r w:rsidRPr="006F3F22">
        <w:rPr>
          <w:rFonts w:ascii="Times New Roman" w:hAnsi="Times New Roman" w:cs="Times New Roman"/>
          <w:sz w:val="24"/>
          <w:szCs w:val="24"/>
        </w:rPr>
        <w:t>)</w:t>
      </w:r>
    </w:p>
    <w:p w14:paraId="709CF601" w14:textId="0D62FC63"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Western Balkans (</w:t>
      </w:r>
      <w:r w:rsidR="001D6265">
        <w:rPr>
          <w:rFonts w:ascii="Times New Roman" w:hAnsi="Times New Roman" w:cs="Times New Roman"/>
          <w:i/>
          <w:iCs/>
          <w:sz w:val="24"/>
          <w:szCs w:val="24"/>
        </w:rPr>
        <w:t>3</w:t>
      </w:r>
      <w:r w:rsidR="001D6265" w:rsidRPr="001D6265">
        <w:rPr>
          <w:rFonts w:ascii="Times New Roman" w:hAnsi="Times New Roman" w:cs="Times New Roman"/>
          <w:i/>
          <w:iCs/>
          <w:sz w:val="24"/>
          <w:szCs w:val="24"/>
        </w:rPr>
        <w:t>5,0</w:t>
      </w:r>
      <w:r w:rsidRPr="006F3F22">
        <w:rPr>
          <w:rFonts w:ascii="Times New Roman" w:hAnsi="Times New Roman" w:cs="Times New Roman"/>
          <w:sz w:val="24"/>
          <w:szCs w:val="24"/>
        </w:rPr>
        <w:t xml:space="preserve"> and Turkey</w:t>
      </w:r>
      <w:r>
        <w:rPr>
          <w:rFonts w:ascii="Times New Roman" w:hAnsi="Times New Roman" w:cs="Times New Roman"/>
          <w:sz w:val="24"/>
          <w:szCs w:val="24"/>
        </w:rPr>
        <w:t xml:space="preserve"> (</w:t>
      </w:r>
      <w:r w:rsidR="001D6265" w:rsidRPr="001D6265">
        <w:rPr>
          <w:rFonts w:ascii="Times New Roman" w:hAnsi="Times New Roman" w:cs="Times New Roman"/>
          <w:i/>
          <w:iCs/>
          <w:sz w:val="24"/>
          <w:szCs w:val="24"/>
        </w:rPr>
        <w:t>16,0</w:t>
      </w:r>
      <w:r>
        <w:rPr>
          <w:rFonts w:ascii="Times New Roman" w:hAnsi="Times New Roman" w:cs="Times New Roman"/>
          <w:sz w:val="24"/>
          <w:szCs w:val="24"/>
        </w:rPr>
        <w:t>)</w:t>
      </w:r>
    </w:p>
    <w:p w14:paraId="5096720F" w14:textId="2549AC73" w:rsidR="005739B7" w:rsidRDefault="005739B7" w:rsidP="005739B7">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1D6265" w:rsidRPr="001D6265">
        <w:rPr>
          <w:rFonts w:ascii="Times New Roman" w:hAnsi="Times New Roman" w:cs="Times New Roman"/>
          <w:i/>
          <w:iCs/>
          <w:sz w:val="24"/>
          <w:szCs w:val="24"/>
        </w:rPr>
        <w:t>32,0</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001D6265" w:rsidRPr="001D6265">
        <w:rPr>
          <w:rFonts w:ascii="Times New Roman" w:hAnsi="Times New Roman" w:cs="Times New Roman"/>
          <w:i/>
          <w:iCs/>
          <w:sz w:val="24"/>
          <w:szCs w:val="24"/>
        </w:rPr>
        <w:t>15,0</w:t>
      </w:r>
      <w:r>
        <w:rPr>
          <w:rFonts w:ascii="Times New Roman" w:eastAsia="Times New Roman" w:hAnsi="Times New Roman" w:cs="Times New Roman"/>
          <w:iCs/>
          <w:sz w:val="24"/>
          <w:szCs w:val="24"/>
        </w:rPr>
        <w:t xml:space="preserve">) </w:t>
      </w:r>
    </w:p>
    <w:p w14:paraId="36A2804B" w14:textId="0C8882AA" w:rsidR="005739B7" w:rsidRPr="00270B55" w:rsidRDefault="005739B7" w:rsidP="002934F7">
      <w:pPr>
        <w:numPr>
          <w:ilvl w:val="0"/>
          <w:numId w:val="1"/>
        </w:numPr>
        <w:spacing w:after="120" w:line="240" w:lineRule="auto"/>
        <w:jc w:val="both"/>
        <w:rPr>
          <w:rFonts w:ascii="Times New Roman" w:hAnsi="Times New Roman" w:cs="Times New Roman"/>
          <w:sz w:val="24"/>
          <w:szCs w:val="24"/>
        </w:rPr>
      </w:pPr>
      <w:r w:rsidRPr="002F628C">
        <w:rPr>
          <w:rFonts w:ascii="Times New Roman" w:hAnsi="Times New Roman" w:cs="Times New Roman"/>
          <w:sz w:val="24"/>
          <w:szCs w:val="24"/>
        </w:rPr>
        <w:t>Employment rate of persons ag</w:t>
      </w:r>
      <w:r>
        <w:rPr>
          <w:rFonts w:ascii="Times New Roman" w:hAnsi="Times New Roman" w:cs="Times New Roman"/>
          <w:sz w:val="24"/>
          <w:szCs w:val="24"/>
        </w:rPr>
        <w:t>ed 20 to 64 (source: Eurostat</w:t>
      </w:r>
      <w:r w:rsidR="002934F7">
        <w:rPr>
          <w:rFonts w:ascii="Times New Roman" w:hAnsi="Times New Roman" w:cs="Times New Roman"/>
          <w:sz w:val="24"/>
          <w:szCs w:val="24"/>
        </w:rPr>
        <w:t xml:space="preserve">, </w:t>
      </w:r>
      <w:r w:rsidR="002934F7" w:rsidRPr="002934F7">
        <w:rPr>
          <w:rFonts w:ascii="Times New Roman" w:hAnsi="Times New Roman" w:cs="Times New Roman"/>
          <w:sz w:val="24"/>
          <w:szCs w:val="24"/>
        </w:rPr>
        <w:t>online data code: lfsi_emp_a</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 KPI 5 of IPA III </w:t>
      </w:r>
      <w:r w:rsidR="006C1F2B">
        <w:rPr>
          <w:rFonts w:ascii="Times New Roman" w:hAnsi="Times New Roman" w:cs="Times New Roman"/>
          <w:sz w:val="24"/>
          <w:szCs w:val="24"/>
        </w:rPr>
        <w:t>Regulation</w:t>
      </w:r>
    </w:p>
    <w:p w14:paraId="132084BB" w14:textId="664B5313" w:rsidR="005739B7" w:rsidRPr="00564ACA" w:rsidRDefault="005739B7" w:rsidP="001D6265">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sidR="001D6265">
        <w:rPr>
          <w:rFonts w:ascii="Times New Roman" w:hAnsi="Times New Roman" w:cs="Times New Roman"/>
          <w:sz w:val="24"/>
          <w:szCs w:val="24"/>
        </w:rPr>
        <w:t>8</w:t>
      </w:r>
      <w:r w:rsidRPr="006F3F22">
        <w:rPr>
          <w:rFonts w:ascii="Times New Roman" w:hAnsi="Times New Roman" w:cs="Times New Roman"/>
          <w:sz w:val="24"/>
          <w:szCs w:val="24"/>
        </w:rPr>
        <w:t>): Western Balkans (</w:t>
      </w:r>
      <w:r w:rsidR="001D6265" w:rsidRPr="001D6265">
        <w:rPr>
          <w:rFonts w:ascii="Times New Roman" w:hAnsi="Times New Roman" w:cs="Times New Roman"/>
          <w:sz w:val="24"/>
          <w:szCs w:val="24"/>
        </w:rPr>
        <w:t>54,25</w:t>
      </w:r>
      <w:r w:rsidRPr="006F3F22">
        <w:rPr>
          <w:rFonts w:ascii="Times New Roman" w:hAnsi="Times New Roman" w:cs="Times New Roman"/>
          <w:sz w:val="24"/>
          <w:szCs w:val="24"/>
        </w:rPr>
        <w:t>) and Turkey (</w:t>
      </w:r>
      <w:r w:rsidR="001D6265" w:rsidRPr="001D6265">
        <w:rPr>
          <w:rFonts w:ascii="Times New Roman" w:hAnsi="Times New Roman" w:cs="Times New Roman"/>
          <w:sz w:val="24"/>
          <w:szCs w:val="24"/>
        </w:rPr>
        <w:t>55,6)</w:t>
      </w:r>
    </w:p>
    <w:p w14:paraId="6190B859" w14:textId="30B361B9" w:rsidR="005739B7" w:rsidRPr="00564ACA" w:rsidRDefault="005739B7" w:rsidP="001D6265">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w:t>
      </w:r>
      <w:r>
        <w:rPr>
          <w:rFonts w:ascii="Times New Roman" w:hAnsi="Times New Roman" w:cs="Times New Roman"/>
          <w:sz w:val="24"/>
          <w:szCs w:val="24"/>
        </w:rPr>
        <w:t>tern Balkans (</w:t>
      </w:r>
      <w:r w:rsidR="001D6265" w:rsidRPr="001D6265">
        <w:rPr>
          <w:rFonts w:ascii="Times New Roman" w:hAnsi="Times New Roman" w:cs="Times New Roman"/>
          <w:sz w:val="24"/>
          <w:szCs w:val="24"/>
        </w:rPr>
        <w:t>57,0)</w:t>
      </w:r>
      <w:r w:rsidRPr="00564ACA">
        <w:rPr>
          <w:rFonts w:ascii="Times New Roman" w:hAnsi="Times New Roman" w:cs="Times New Roman"/>
          <w:sz w:val="24"/>
          <w:szCs w:val="24"/>
        </w:rPr>
        <w:t xml:space="preserve"> and Turkey (</w:t>
      </w:r>
      <w:r w:rsidR="001D6265" w:rsidRPr="001D6265">
        <w:rPr>
          <w:rFonts w:ascii="Times New Roman" w:hAnsi="Times New Roman" w:cs="Times New Roman"/>
          <w:sz w:val="24"/>
          <w:szCs w:val="24"/>
        </w:rPr>
        <w:t>58,0)</w:t>
      </w:r>
    </w:p>
    <w:p w14:paraId="07FD13F0" w14:textId="6885DD75" w:rsidR="005739B7" w:rsidRPr="00564ACA" w:rsidRDefault="005739B7" w:rsidP="001D6265">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1D6265" w:rsidRPr="001D6265">
        <w:rPr>
          <w:rFonts w:ascii="Times New Roman" w:hAnsi="Times New Roman" w:cs="Times New Roman"/>
          <w:sz w:val="24"/>
          <w:szCs w:val="24"/>
        </w:rPr>
        <w:t>61,5)</w:t>
      </w:r>
      <w:r w:rsidRPr="00564ACA">
        <w:rPr>
          <w:rFonts w:ascii="Times New Roman" w:hAnsi="Times New Roman" w:cs="Times New Roman"/>
          <w:sz w:val="24"/>
          <w:szCs w:val="24"/>
        </w:rPr>
        <w:t xml:space="preserve"> and</w:t>
      </w:r>
      <w:r w:rsidRPr="00564ACA">
        <w:rPr>
          <w:rFonts w:ascii="Times New Roman" w:eastAsia="Times New Roman" w:hAnsi="Times New Roman" w:cs="Times New Roman"/>
          <w:i/>
          <w:iCs/>
          <w:sz w:val="24"/>
          <w:szCs w:val="24"/>
        </w:rPr>
        <w:t xml:space="preserve"> </w:t>
      </w:r>
      <w:r w:rsidRPr="00564ACA">
        <w:rPr>
          <w:rFonts w:ascii="Times New Roman" w:eastAsia="Times New Roman" w:hAnsi="Times New Roman" w:cs="Times New Roman"/>
          <w:iCs/>
          <w:sz w:val="24"/>
          <w:szCs w:val="24"/>
        </w:rPr>
        <w:t xml:space="preserve">Turkey </w:t>
      </w:r>
      <w:r w:rsidR="001D6265" w:rsidRPr="001D6265">
        <w:rPr>
          <w:rFonts w:ascii="Times New Roman" w:eastAsia="Times New Roman" w:hAnsi="Times New Roman" w:cs="Times New Roman"/>
          <w:iCs/>
          <w:sz w:val="24"/>
          <w:szCs w:val="24"/>
        </w:rPr>
        <w:t>(60,0)</w:t>
      </w:r>
    </w:p>
    <w:p w14:paraId="43A76003" w14:textId="20A59F9E" w:rsidR="00375FCB" w:rsidRDefault="00375FCB" w:rsidP="00375FCB">
      <w:pPr>
        <w:numPr>
          <w:ilvl w:val="0"/>
          <w:numId w:val="1"/>
        </w:numPr>
        <w:spacing w:after="120" w:line="240" w:lineRule="auto"/>
        <w:jc w:val="both"/>
        <w:rPr>
          <w:rFonts w:ascii="Times New Roman" w:hAnsi="Times New Roman" w:cs="Times New Roman"/>
          <w:sz w:val="24"/>
          <w:szCs w:val="24"/>
        </w:rPr>
      </w:pPr>
      <w:r w:rsidRPr="00375FCB">
        <w:rPr>
          <w:rFonts w:ascii="Times New Roman" w:hAnsi="Times New Roman" w:cs="Times New Roman"/>
          <w:sz w:val="24"/>
          <w:szCs w:val="24"/>
        </w:rPr>
        <w:t>G</w:t>
      </w:r>
      <w:r w:rsidR="002934F7">
        <w:rPr>
          <w:rFonts w:ascii="Times New Roman" w:hAnsi="Times New Roman" w:cs="Times New Roman"/>
          <w:sz w:val="24"/>
          <w:szCs w:val="24"/>
        </w:rPr>
        <w:t>ini</w:t>
      </w:r>
      <w:r w:rsidRPr="00375FCB">
        <w:rPr>
          <w:rFonts w:ascii="Times New Roman" w:hAnsi="Times New Roman" w:cs="Times New Roman"/>
          <w:sz w:val="24"/>
          <w:szCs w:val="24"/>
        </w:rPr>
        <w:t xml:space="preserve"> coefficient of a beneficiary over time</w:t>
      </w:r>
      <w:r w:rsidR="005D4770">
        <w:rPr>
          <w:rFonts w:ascii="Times New Roman" w:hAnsi="Times New Roman" w:cs="Times New Roman"/>
          <w:sz w:val="24"/>
          <w:szCs w:val="24"/>
        </w:rPr>
        <w:t xml:space="preserve"> (source: Eurostat, online data code: ilc di12)</w:t>
      </w:r>
    </w:p>
    <w:p w14:paraId="7E8EE56A" w14:textId="0AF1B45F" w:rsidR="00375FCB" w:rsidRPr="00375FCB" w:rsidRDefault="00375FCB" w:rsidP="00375FCB">
      <w:pPr>
        <w:spacing w:after="120" w:line="240" w:lineRule="auto"/>
        <w:ind w:left="720"/>
        <w:jc w:val="both"/>
        <w:rPr>
          <w:rFonts w:ascii="Times New Roman" w:hAnsi="Times New Roman" w:cs="Times New Roman"/>
          <w:sz w:val="24"/>
          <w:szCs w:val="24"/>
        </w:rPr>
      </w:pPr>
      <w:r w:rsidRPr="00375FCB">
        <w:rPr>
          <w:rFonts w:ascii="Times New Roman" w:hAnsi="Times New Roman" w:cs="Times New Roman"/>
          <w:sz w:val="24"/>
          <w:szCs w:val="24"/>
        </w:rPr>
        <w:t>Ba</w:t>
      </w:r>
      <w:r>
        <w:rPr>
          <w:rFonts w:ascii="Times New Roman" w:hAnsi="Times New Roman" w:cs="Times New Roman"/>
          <w:sz w:val="24"/>
          <w:szCs w:val="24"/>
        </w:rPr>
        <w:t>seline (2018): Western Balkans (33,81)</w:t>
      </w:r>
      <w:r w:rsidRPr="00375FCB">
        <w:rPr>
          <w:rFonts w:ascii="Times New Roman" w:hAnsi="Times New Roman" w:cs="Times New Roman"/>
          <w:sz w:val="24"/>
          <w:szCs w:val="24"/>
        </w:rPr>
        <w:t xml:space="preserve"> and Turkey </w:t>
      </w:r>
      <w:r>
        <w:rPr>
          <w:rFonts w:ascii="Times New Roman" w:hAnsi="Times New Roman" w:cs="Times New Roman"/>
          <w:sz w:val="24"/>
          <w:szCs w:val="24"/>
        </w:rPr>
        <w:t>(41,9)</w:t>
      </w:r>
    </w:p>
    <w:p w14:paraId="4B040BC4" w14:textId="4F3FE65B" w:rsidR="00375FCB" w:rsidRPr="00375FCB" w:rsidRDefault="00375FCB" w:rsidP="00375FCB">
      <w:pPr>
        <w:spacing w:after="120" w:line="240" w:lineRule="auto"/>
        <w:ind w:left="720"/>
        <w:jc w:val="both"/>
        <w:rPr>
          <w:rFonts w:ascii="Times New Roman" w:hAnsi="Times New Roman" w:cs="Times New Roman"/>
          <w:sz w:val="24"/>
          <w:szCs w:val="24"/>
        </w:rPr>
      </w:pPr>
      <w:r w:rsidRPr="00375FCB">
        <w:rPr>
          <w:rFonts w:ascii="Times New Roman" w:hAnsi="Times New Roman" w:cs="Times New Roman"/>
          <w:sz w:val="24"/>
          <w:szCs w:val="24"/>
        </w:rPr>
        <w:t xml:space="preserve">Milestone (2023): Western Balkans </w:t>
      </w:r>
      <w:r>
        <w:rPr>
          <w:rFonts w:ascii="Times New Roman" w:hAnsi="Times New Roman" w:cs="Times New Roman"/>
          <w:sz w:val="24"/>
          <w:szCs w:val="24"/>
        </w:rPr>
        <w:t>(33,0)</w:t>
      </w:r>
      <w:r w:rsidRPr="00375FCB">
        <w:rPr>
          <w:rFonts w:ascii="Times New Roman" w:hAnsi="Times New Roman" w:cs="Times New Roman"/>
          <w:sz w:val="24"/>
          <w:szCs w:val="24"/>
        </w:rPr>
        <w:t xml:space="preserve"> and Turkey </w:t>
      </w:r>
      <w:r>
        <w:rPr>
          <w:rFonts w:ascii="Times New Roman" w:hAnsi="Times New Roman" w:cs="Times New Roman"/>
          <w:sz w:val="24"/>
          <w:szCs w:val="24"/>
        </w:rPr>
        <w:t>(41,5)</w:t>
      </w:r>
    </w:p>
    <w:p w14:paraId="6E963623" w14:textId="16CABBB8" w:rsidR="00375FCB" w:rsidRDefault="00375FCB" w:rsidP="00564ACA">
      <w:pPr>
        <w:spacing w:after="120" w:line="240" w:lineRule="auto"/>
        <w:ind w:left="720"/>
        <w:jc w:val="both"/>
        <w:rPr>
          <w:rFonts w:ascii="Times New Roman" w:hAnsi="Times New Roman" w:cs="Times New Roman"/>
          <w:sz w:val="24"/>
          <w:szCs w:val="24"/>
        </w:rPr>
      </w:pPr>
      <w:r w:rsidRPr="00375FCB">
        <w:rPr>
          <w:rFonts w:ascii="Times New Roman" w:hAnsi="Times New Roman" w:cs="Times New Roman"/>
          <w:sz w:val="24"/>
          <w:szCs w:val="24"/>
        </w:rPr>
        <w:t xml:space="preserve">Target (2027): Western Balkans </w:t>
      </w:r>
      <w:r>
        <w:rPr>
          <w:rFonts w:ascii="Times New Roman" w:hAnsi="Times New Roman" w:cs="Times New Roman"/>
          <w:sz w:val="24"/>
          <w:szCs w:val="24"/>
        </w:rPr>
        <w:t>(31,5)</w:t>
      </w:r>
      <w:r w:rsidRPr="00375FCB">
        <w:rPr>
          <w:rFonts w:ascii="Times New Roman" w:hAnsi="Times New Roman" w:cs="Times New Roman"/>
          <w:sz w:val="24"/>
          <w:szCs w:val="24"/>
        </w:rPr>
        <w:t xml:space="preserve"> and Turkey </w:t>
      </w:r>
      <w:r>
        <w:rPr>
          <w:rFonts w:ascii="Times New Roman" w:hAnsi="Times New Roman" w:cs="Times New Roman"/>
          <w:sz w:val="24"/>
          <w:szCs w:val="24"/>
        </w:rPr>
        <w:t>(40,5)</w:t>
      </w:r>
    </w:p>
    <w:p w14:paraId="12F29D5B" w14:textId="6914A2E5" w:rsidR="005739B7" w:rsidRPr="003E32BA" w:rsidRDefault="005739B7" w:rsidP="005739B7">
      <w:pPr>
        <w:numPr>
          <w:ilvl w:val="0"/>
          <w:numId w:val="1"/>
        </w:numPr>
        <w:spacing w:after="120" w:line="240" w:lineRule="auto"/>
        <w:jc w:val="both"/>
        <w:rPr>
          <w:rFonts w:ascii="Times New Roman" w:hAnsi="Times New Roman" w:cs="Times New Roman"/>
          <w:sz w:val="24"/>
          <w:szCs w:val="24"/>
        </w:rPr>
      </w:pPr>
      <w:r w:rsidRPr="003E32BA">
        <w:rPr>
          <w:rFonts w:ascii="Times New Roman" w:hAnsi="Times New Roman" w:cs="Times New Roman"/>
          <w:sz w:val="24"/>
          <w:szCs w:val="24"/>
        </w:rPr>
        <w:t xml:space="preserve">Public </w:t>
      </w:r>
      <w:r w:rsidR="005D4770">
        <w:rPr>
          <w:rFonts w:ascii="Times New Roman" w:hAnsi="Times New Roman" w:cs="Times New Roman"/>
          <w:sz w:val="24"/>
          <w:szCs w:val="24"/>
        </w:rPr>
        <w:t xml:space="preserve">expenditure on </w:t>
      </w:r>
      <w:r w:rsidRPr="003E32BA">
        <w:rPr>
          <w:rFonts w:ascii="Times New Roman" w:hAnsi="Times New Roman" w:cs="Times New Roman"/>
          <w:sz w:val="24"/>
          <w:szCs w:val="24"/>
        </w:rPr>
        <w:t xml:space="preserve">social security </w:t>
      </w:r>
      <w:r w:rsidR="005D4770">
        <w:rPr>
          <w:rFonts w:ascii="Times New Roman" w:hAnsi="Times New Roman" w:cs="Times New Roman"/>
          <w:sz w:val="24"/>
          <w:szCs w:val="24"/>
        </w:rPr>
        <w:t>protection</w:t>
      </w:r>
      <w:r w:rsidR="005D4770" w:rsidRPr="003E32BA">
        <w:rPr>
          <w:rFonts w:ascii="Times New Roman" w:hAnsi="Times New Roman" w:cs="Times New Roman"/>
          <w:sz w:val="24"/>
          <w:szCs w:val="24"/>
        </w:rPr>
        <w:t xml:space="preserve"> </w:t>
      </w:r>
      <w:r w:rsidRPr="003E32BA">
        <w:rPr>
          <w:rFonts w:ascii="Times New Roman" w:hAnsi="Times New Roman" w:cs="Times New Roman"/>
          <w:sz w:val="24"/>
          <w:szCs w:val="24"/>
        </w:rPr>
        <w:t xml:space="preserve">(percentage of GDP) (source </w:t>
      </w:r>
      <w:r w:rsidR="005D4770">
        <w:rPr>
          <w:rFonts w:ascii="Times New Roman" w:hAnsi="Times New Roman" w:cs="Times New Roman"/>
          <w:sz w:val="24"/>
          <w:szCs w:val="24"/>
        </w:rPr>
        <w:t>Eurostat, online code: tps00098</w:t>
      </w:r>
      <w:r w:rsidRPr="003E32BA">
        <w:rPr>
          <w:rFonts w:ascii="Times New Roman" w:hAnsi="Times New Roman" w:cs="Times New Roman"/>
          <w:sz w:val="24"/>
          <w:szCs w:val="24"/>
        </w:rPr>
        <w:t>)</w:t>
      </w:r>
      <w:r>
        <w:rPr>
          <w:rStyle w:val="DipnotBavurusu"/>
          <w:rFonts w:ascii="Times New Roman" w:hAnsi="Times New Roman" w:cs="Times New Roman"/>
          <w:sz w:val="24"/>
          <w:szCs w:val="24"/>
        </w:rPr>
        <w:footnoteReference w:id="42"/>
      </w:r>
    </w:p>
    <w:p w14:paraId="008B6442" w14:textId="0816C014"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sidR="001D6265">
        <w:rPr>
          <w:rFonts w:ascii="Times New Roman" w:hAnsi="Times New Roman" w:cs="Times New Roman"/>
          <w:sz w:val="24"/>
          <w:szCs w:val="24"/>
        </w:rPr>
        <w:t>8</w:t>
      </w:r>
      <w:r w:rsidRPr="006F3F22">
        <w:rPr>
          <w:rFonts w:ascii="Times New Roman" w:hAnsi="Times New Roman" w:cs="Times New Roman"/>
          <w:sz w:val="24"/>
          <w:szCs w:val="24"/>
        </w:rPr>
        <w:t>): Western Balkans (</w:t>
      </w:r>
      <w:r w:rsidR="001D6265" w:rsidRPr="001D6265">
        <w:rPr>
          <w:rFonts w:ascii="Times New Roman" w:hAnsi="Times New Roman" w:cs="Times New Roman"/>
          <w:sz w:val="24"/>
          <w:szCs w:val="24"/>
        </w:rPr>
        <w:t>16,98</w:t>
      </w:r>
      <w:r w:rsidRPr="006F3F22">
        <w:rPr>
          <w:rFonts w:ascii="Times New Roman" w:hAnsi="Times New Roman" w:cs="Times New Roman"/>
          <w:sz w:val="24"/>
          <w:szCs w:val="24"/>
        </w:rPr>
        <w:t>) and Turkey (</w:t>
      </w:r>
      <w:r w:rsidR="001D6265" w:rsidRPr="001D6265">
        <w:rPr>
          <w:rFonts w:ascii="Times New Roman" w:hAnsi="Times New Roman" w:cs="Times New Roman"/>
          <w:sz w:val="24"/>
          <w:szCs w:val="24"/>
        </w:rPr>
        <w:t>11,8</w:t>
      </w:r>
      <w:r w:rsidRPr="006F3F22">
        <w:rPr>
          <w:rFonts w:ascii="Times New Roman" w:hAnsi="Times New Roman" w:cs="Times New Roman"/>
          <w:sz w:val="24"/>
          <w:szCs w:val="24"/>
        </w:rPr>
        <w:t>)</w:t>
      </w:r>
    </w:p>
    <w:p w14:paraId="7E91F44A" w14:textId="2BE83D8C" w:rsidR="005739B7" w:rsidRPr="006F3F22" w:rsidRDefault="005739B7" w:rsidP="005739B7">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w:t>
      </w:r>
      <w:r>
        <w:rPr>
          <w:rFonts w:ascii="Times New Roman" w:hAnsi="Times New Roman" w:cs="Times New Roman"/>
          <w:sz w:val="24"/>
          <w:szCs w:val="24"/>
        </w:rPr>
        <w:t>tern Balkans (</w:t>
      </w:r>
      <w:r w:rsidR="001D6265" w:rsidRPr="001D6265">
        <w:rPr>
          <w:rFonts w:ascii="Times New Roman" w:hAnsi="Times New Roman" w:cs="Times New Roman"/>
          <w:sz w:val="24"/>
          <w:szCs w:val="24"/>
        </w:rPr>
        <w:t>16,5</w:t>
      </w:r>
      <w:r>
        <w:rPr>
          <w:rFonts w:ascii="Times New Roman" w:hAnsi="Times New Roman" w:cs="Times New Roman"/>
          <w:sz w:val="24"/>
          <w:szCs w:val="24"/>
        </w:rPr>
        <w:t>) and Turkey (</w:t>
      </w:r>
      <w:r w:rsidR="001D6265" w:rsidRPr="001D6265">
        <w:rPr>
          <w:rFonts w:ascii="Times New Roman" w:hAnsi="Times New Roman" w:cs="Times New Roman"/>
          <w:sz w:val="24"/>
          <w:szCs w:val="24"/>
        </w:rPr>
        <w:t>11,5</w:t>
      </w:r>
      <w:r>
        <w:rPr>
          <w:rFonts w:ascii="Times New Roman" w:hAnsi="Times New Roman" w:cs="Times New Roman"/>
          <w:sz w:val="24"/>
          <w:szCs w:val="24"/>
        </w:rPr>
        <w:t>)</w:t>
      </w:r>
    </w:p>
    <w:p w14:paraId="4055C38E" w14:textId="6BEBDD79" w:rsidR="005739B7" w:rsidRDefault="005739B7" w:rsidP="005739B7">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001D6265" w:rsidRPr="001D6265">
        <w:rPr>
          <w:rFonts w:ascii="Times New Roman" w:hAnsi="Times New Roman" w:cs="Times New Roman"/>
          <w:sz w:val="24"/>
          <w:szCs w:val="24"/>
        </w:rPr>
        <w:t>15,75</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001D6265" w:rsidRPr="001D6265">
        <w:rPr>
          <w:rFonts w:ascii="Times New Roman" w:eastAsia="Times New Roman" w:hAnsi="Times New Roman" w:cs="Times New Roman"/>
          <w:iCs/>
          <w:sz w:val="24"/>
          <w:szCs w:val="24"/>
        </w:rPr>
        <w:t>11,0</w:t>
      </w:r>
      <w:r>
        <w:rPr>
          <w:rFonts w:ascii="Times New Roman" w:eastAsia="Times New Roman" w:hAnsi="Times New Roman" w:cs="Times New Roman"/>
          <w:iCs/>
          <w:sz w:val="24"/>
          <w:szCs w:val="24"/>
        </w:rPr>
        <w:t>)</w:t>
      </w:r>
    </w:p>
    <w:p w14:paraId="353BE997" w14:textId="77777777" w:rsidR="005739B7" w:rsidRDefault="005739B7" w:rsidP="00564ACA">
      <w:pPr>
        <w:keepNext/>
        <w:spacing w:after="120" w:line="240" w:lineRule="auto"/>
        <w:jc w:val="both"/>
        <w:rPr>
          <w:rFonts w:ascii="Times New Roman" w:hAnsi="Times New Roman" w:cs="Times New Roman"/>
          <w:i/>
          <w:iCs/>
          <w:sz w:val="24"/>
          <w:szCs w:val="24"/>
        </w:rPr>
      </w:pPr>
      <w:r w:rsidRPr="005742F9">
        <w:rPr>
          <w:rFonts w:ascii="Times New Roman" w:hAnsi="Times New Roman" w:cs="Times New Roman"/>
          <w:i/>
          <w:iCs/>
          <w:sz w:val="24"/>
          <w:szCs w:val="24"/>
        </w:rPr>
        <w:t>Thematic Priority 2: Private sector development, trade, research and innovation</w:t>
      </w:r>
    </w:p>
    <w:p w14:paraId="72B9537B" w14:textId="77777777" w:rsidR="006C1F2B" w:rsidRDefault="005739B7" w:rsidP="006E6514">
      <w:pPr>
        <w:numPr>
          <w:ilvl w:val="0"/>
          <w:numId w:val="1"/>
        </w:numPr>
        <w:spacing w:after="120" w:line="240" w:lineRule="auto"/>
        <w:jc w:val="both"/>
        <w:rPr>
          <w:rFonts w:ascii="Times New Roman" w:hAnsi="Times New Roman" w:cs="Times New Roman"/>
          <w:sz w:val="24"/>
          <w:szCs w:val="24"/>
        </w:rPr>
      </w:pPr>
      <w:r w:rsidRPr="006C1F2B">
        <w:rPr>
          <w:rFonts w:ascii="Times New Roman" w:hAnsi="Times New Roman" w:cs="Times New Roman"/>
          <w:sz w:val="24"/>
          <w:szCs w:val="24"/>
        </w:rPr>
        <w:t xml:space="preserve">Ease of doing business (source: World Bank) – KPI 7 of IPA III </w:t>
      </w:r>
      <w:r w:rsidR="006C1F2B">
        <w:rPr>
          <w:rFonts w:ascii="Times New Roman" w:hAnsi="Times New Roman" w:cs="Times New Roman"/>
          <w:sz w:val="24"/>
          <w:szCs w:val="24"/>
        </w:rPr>
        <w:t>Regulation</w:t>
      </w:r>
      <w:r w:rsidR="006C1F2B" w:rsidRPr="006C1F2B">
        <w:rPr>
          <w:rFonts w:ascii="Times New Roman" w:hAnsi="Times New Roman" w:cs="Times New Roman"/>
          <w:sz w:val="24"/>
          <w:szCs w:val="24"/>
        </w:rPr>
        <w:t xml:space="preserve"> </w:t>
      </w:r>
    </w:p>
    <w:p w14:paraId="18302D1B" w14:textId="18899F84" w:rsidR="005739B7" w:rsidRPr="006C1F2B" w:rsidRDefault="005739B7" w:rsidP="006C1F2B">
      <w:pPr>
        <w:spacing w:after="120" w:line="240" w:lineRule="auto"/>
        <w:ind w:left="720"/>
        <w:jc w:val="both"/>
        <w:rPr>
          <w:rFonts w:ascii="Times New Roman" w:hAnsi="Times New Roman" w:cs="Times New Roman"/>
          <w:sz w:val="24"/>
          <w:szCs w:val="24"/>
        </w:rPr>
      </w:pPr>
      <w:r w:rsidRPr="006C1F2B">
        <w:rPr>
          <w:rFonts w:ascii="Times New Roman" w:hAnsi="Times New Roman" w:cs="Times New Roman"/>
          <w:sz w:val="24"/>
          <w:szCs w:val="24"/>
        </w:rPr>
        <w:t>Baseline (20</w:t>
      </w:r>
      <w:r w:rsidR="001D6265" w:rsidRPr="006C1F2B">
        <w:rPr>
          <w:rFonts w:ascii="Times New Roman" w:hAnsi="Times New Roman" w:cs="Times New Roman"/>
          <w:sz w:val="24"/>
          <w:szCs w:val="24"/>
        </w:rPr>
        <w:t>20</w:t>
      </w:r>
      <w:r w:rsidRPr="006C1F2B">
        <w:rPr>
          <w:rFonts w:ascii="Times New Roman" w:hAnsi="Times New Roman" w:cs="Times New Roman"/>
          <w:sz w:val="24"/>
          <w:szCs w:val="24"/>
        </w:rPr>
        <w:t>): Western Balkans (</w:t>
      </w:r>
      <w:r w:rsidR="001D6265" w:rsidRPr="006C1F2B">
        <w:rPr>
          <w:rFonts w:ascii="Times New Roman" w:hAnsi="Times New Roman" w:cs="Times New Roman"/>
          <w:sz w:val="24"/>
          <w:szCs w:val="24"/>
        </w:rPr>
        <w:t xml:space="preserve"> 72,75</w:t>
      </w:r>
      <w:r w:rsidRPr="006C1F2B">
        <w:rPr>
          <w:rFonts w:ascii="Times New Roman" w:hAnsi="Times New Roman" w:cs="Times New Roman"/>
          <w:sz w:val="24"/>
          <w:szCs w:val="24"/>
        </w:rPr>
        <w:t>) and Turkey (</w:t>
      </w:r>
      <w:r w:rsidR="001D6265" w:rsidRPr="006C1F2B">
        <w:rPr>
          <w:rFonts w:ascii="Times New Roman" w:hAnsi="Times New Roman" w:cs="Times New Roman"/>
          <w:sz w:val="24"/>
          <w:szCs w:val="24"/>
        </w:rPr>
        <w:t>76,8</w:t>
      </w:r>
      <w:r w:rsidRPr="006C1F2B">
        <w:rPr>
          <w:rFonts w:ascii="Times New Roman" w:hAnsi="Times New Roman" w:cs="Times New Roman"/>
          <w:sz w:val="24"/>
          <w:szCs w:val="24"/>
        </w:rPr>
        <w:t xml:space="preserve">). </w:t>
      </w:r>
    </w:p>
    <w:p w14:paraId="0B3F3596" w14:textId="0F88A8D8" w:rsidR="005739B7" w:rsidRPr="005742F9" w:rsidRDefault="005739B7" w:rsidP="005739B7">
      <w:pPr>
        <w:pStyle w:val="ListeParagraf"/>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Milestone (2023): Western Balkans (</w:t>
      </w:r>
      <w:r w:rsidR="00E82001" w:rsidRPr="00E82001">
        <w:rPr>
          <w:rFonts w:ascii="Times New Roman" w:hAnsi="Times New Roman" w:cs="Times New Roman"/>
          <w:sz w:val="24"/>
          <w:szCs w:val="24"/>
        </w:rPr>
        <w:t>74,25</w:t>
      </w:r>
      <w:r w:rsidRPr="005742F9">
        <w:rPr>
          <w:rFonts w:ascii="Times New Roman" w:hAnsi="Times New Roman" w:cs="Times New Roman"/>
          <w:sz w:val="24"/>
          <w:szCs w:val="24"/>
        </w:rPr>
        <w:t>) and Turkey (</w:t>
      </w:r>
      <w:r w:rsidR="00E82001" w:rsidRPr="00E82001">
        <w:rPr>
          <w:rFonts w:ascii="Times New Roman" w:hAnsi="Times New Roman" w:cs="Times New Roman"/>
          <w:sz w:val="24"/>
          <w:szCs w:val="24"/>
        </w:rPr>
        <w:t>80,00</w:t>
      </w:r>
      <w:r w:rsidRPr="005742F9">
        <w:rPr>
          <w:rFonts w:ascii="Times New Roman" w:hAnsi="Times New Roman" w:cs="Times New Roman"/>
          <w:sz w:val="24"/>
          <w:szCs w:val="24"/>
        </w:rPr>
        <w:t>)</w:t>
      </w:r>
    </w:p>
    <w:p w14:paraId="14A695DC" w14:textId="7190846D" w:rsidR="00E82001" w:rsidRDefault="005739B7" w:rsidP="00564ACA">
      <w:pPr>
        <w:spacing w:after="120" w:line="240" w:lineRule="auto"/>
        <w:ind w:firstLine="720"/>
        <w:rPr>
          <w:rFonts w:ascii="Times New Roman" w:hAnsi="Times New Roman" w:cs="Times New Roman"/>
          <w:sz w:val="24"/>
          <w:szCs w:val="24"/>
        </w:rPr>
      </w:pPr>
      <w:r w:rsidRPr="005742F9">
        <w:rPr>
          <w:rFonts w:ascii="Times New Roman" w:hAnsi="Times New Roman" w:cs="Times New Roman"/>
          <w:sz w:val="24"/>
          <w:szCs w:val="24"/>
        </w:rPr>
        <w:t>Target (2027): Western Balkans (</w:t>
      </w:r>
      <w:r w:rsidR="00E82001" w:rsidRPr="00E82001">
        <w:rPr>
          <w:rFonts w:ascii="Times New Roman" w:hAnsi="Times New Roman" w:cs="Times New Roman"/>
          <w:sz w:val="24"/>
          <w:szCs w:val="24"/>
        </w:rPr>
        <w:t>76,25</w:t>
      </w:r>
      <w:r w:rsidRPr="005742F9">
        <w:rPr>
          <w:rFonts w:ascii="Times New Roman" w:hAnsi="Times New Roman" w:cs="Times New Roman"/>
          <w:sz w:val="24"/>
          <w:szCs w:val="24"/>
        </w:rPr>
        <w:t>) and Turkey (</w:t>
      </w:r>
      <w:r w:rsidR="00E82001" w:rsidRPr="00E82001">
        <w:rPr>
          <w:rFonts w:ascii="Times New Roman" w:hAnsi="Times New Roman" w:cs="Times New Roman"/>
          <w:sz w:val="24"/>
          <w:szCs w:val="24"/>
        </w:rPr>
        <w:t>82</w:t>
      </w:r>
      <w:r w:rsidRPr="005742F9">
        <w:rPr>
          <w:rFonts w:ascii="Times New Roman" w:hAnsi="Times New Roman" w:cs="Times New Roman"/>
          <w:sz w:val="24"/>
          <w:szCs w:val="24"/>
        </w:rPr>
        <w:t>)</w:t>
      </w:r>
    </w:p>
    <w:p w14:paraId="384F3E71" w14:textId="5C8926E9" w:rsidR="005739B7" w:rsidRPr="00836B9E" w:rsidRDefault="005739B7" w:rsidP="005739B7">
      <w:pPr>
        <w:spacing w:after="120" w:line="240" w:lineRule="auto"/>
        <w:rPr>
          <w:rFonts w:ascii="Times New Roman" w:hAnsi="Times New Roman" w:cs="Times New Roman"/>
          <w:i/>
          <w:iCs/>
          <w:sz w:val="24"/>
          <w:szCs w:val="24"/>
        </w:rPr>
      </w:pPr>
      <w:r w:rsidRPr="00836B9E">
        <w:rPr>
          <w:rFonts w:ascii="Times New Roman" w:hAnsi="Times New Roman" w:cs="Times New Roman"/>
          <w:i/>
          <w:iCs/>
          <w:sz w:val="24"/>
          <w:szCs w:val="24"/>
        </w:rPr>
        <w:t>Thematic Priority 3: Agriculture and rural development</w:t>
      </w:r>
    </w:p>
    <w:p w14:paraId="13EA5AD3" w14:textId="2BCE5C8C" w:rsidR="009A22BA" w:rsidRPr="005742F9" w:rsidRDefault="009A22BA" w:rsidP="00472513">
      <w:pPr>
        <w:numPr>
          <w:ilvl w:val="0"/>
          <w:numId w:val="1"/>
        </w:num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Agriculture, forestry, and fishing, value added (% of GDP) (source </w:t>
      </w:r>
      <w:r>
        <w:rPr>
          <w:rFonts w:ascii="Times New Roman" w:hAnsi="Times New Roman" w:cs="Times New Roman"/>
          <w:sz w:val="24"/>
          <w:szCs w:val="24"/>
        </w:rPr>
        <w:t>Eurostat</w:t>
      </w:r>
      <w:r w:rsidR="005D4770">
        <w:rPr>
          <w:rFonts w:ascii="Times New Roman" w:hAnsi="Times New Roman" w:cs="Times New Roman"/>
          <w:sz w:val="24"/>
          <w:szCs w:val="24"/>
        </w:rPr>
        <w:t>, online data code: nama_10_a10</w:t>
      </w:r>
      <w:r w:rsidRPr="005742F9">
        <w:rPr>
          <w:rFonts w:ascii="Times New Roman" w:hAnsi="Times New Roman" w:cs="Times New Roman"/>
          <w:sz w:val="24"/>
          <w:szCs w:val="24"/>
        </w:rPr>
        <w:t xml:space="preserve">) </w:t>
      </w:r>
    </w:p>
    <w:p w14:paraId="20AB18BC" w14:textId="49A0877D" w:rsidR="009A22BA" w:rsidRPr="006F3F22" w:rsidRDefault="009A22BA" w:rsidP="009A22BA">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Baseline (201</w:t>
      </w:r>
      <w:r>
        <w:rPr>
          <w:rFonts w:ascii="Times New Roman" w:hAnsi="Times New Roman" w:cs="Times New Roman"/>
          <w:sz w:val="24"/>
          <w:szCs w:val="24"/>
        </w:rPr>
        <w:t>9</w:t>
      </w:r>
      <w:r w:rsidRPr="006F3F22">
        <w:rPr>
          <w:rFonts w:ascii="Times New Roman" w:hAnsi="Times New Roman" w:cs="Times New Roman"/>
          <w:sz w:val="24"/>
          <w:szCs w:val="24"/>
        </w:rPr>
        <w:t>): Western Balkans (</w:t>
      </w:r>
      <w:r>
        <w:rPr>
          <w:rFonts w:ascii="Times New Roman" w:hAnsi="Times New Roman" w:cs="Times New Roman"/>
          <w:sz w:val="24"/>
          <w:szCs w:val="24"/>
        </w:rPr>
        <w:t>12,3%</w:t>
      </w:r>
      <w:r w:rsidRPr="006F3F22">
        <w:rPr>
          <w:rFonts w:ascii="Times New Roman" w:hAnsi="Times New Roman" w:cs="Times New Roman"/>
          <w:sz w:val="24"/>
          <w:szCs w:val="24"/>
        </w:rPr>
        <w:t>) and Turkey (</w:t>
      </w:r>
      <w:r>
        <w:rPr>
          <w:rFonts w:ascii="Times New Roman" w:hAnsi="Times New Roman" w:cs="Times New Roman"/>
          <w:sz w:val="24"/>
          <w:szCs w:val="24"/>
        </w:rPr>
        <w:t>7,8%</w:t>
      </w:r>
      <w:r w:rsidRPr="006F3F22">
        <w:rPr>
          <w:rFonts w:ascii="Times New Roman" w:hAnsi="Times New Roman" w:cs="Times New Roman"/>
          <w:sz w:val="24"/>
          <w:szCs w:val="24"/>
        </w:rPr>
        <w:t>)</w:t>
      </w:r>
    </w:p>
    <w:p w14:paraId="5EE0B418" w14:textId="3211E109" w:rsidR="009A22BA" w:rsidRPr="006F3F22" w:rsidRDefault="009A22BA" w:rsidP="009A22BA">
      <w:pPr>
        <w:pStyle w:val="ListeParagraf"/>
        <w:spacing w:after="120" w:line="240" w:lineRule="auto"/>
        <w:jc w:val="both"/>
        <w:rPr>
          <w:rFonts w:ascii="Times New Roman" w:hAnsi="Times New Roman" w:cs="Times New Roman"/>
          <w:sz w:val="24"/>
          <w:szCs w:val="24"/>
        </w:rPr>
      </w:pPr>
      <w:r w:rsidRPr="006F3F22">
        <w:rPr>
          <w:rFonts w:ascii="Times New Roman" w:hAnsi="Times New Roman" w:cs="Times New Roman"/>
          <w:sz w:val="24"/>
          <w:szCs w:val="24"/>
        </w:rPr>
        <w:t>Milestone (2023): Wes</w:t>
      </w:r>
      <w:r>
        <w:rPr>
          <w:rFonts w:ascii="Times New Roman" w:hAnsi="Times New Roman" w:cs="Times New Roman"/>
          <w:sz w:val="24"/>
          <w:szCs w:val="24"/>
        </w:rPr>
        <w:t>tern Balkans (</w:t>
      </w:r>
      <w:r w:rsidRPr="009A22BA">
        <w:rPr>
          <w:rFonts w:ascii="Times New Roman" w:hAnsi="Times New Roman" w:cs="Times New Roman"/>
          <w:sz w:val="24"/>
          <w:szCs w:val="24"/>
        </w:rPr>
        <w:t>Stability</w:t>
      </w:r>
      <w:r>
        <w:rPr>
          <w:rFonts w:ascii="Times New Roman" w:hAnsi="Times New Roman" w:cs="Times New Roman"/>
          <w:sz w:val="24"/>
          <w:szCs w:val="24"/>
        </w:rPr>
        <w:t>) and Turkey (</w:t>
      </w:r>
      <w:r w:rsidRPr="009A22BA">
        <w:rPr>
          <w:rFonts w:ascii="Times New Roman" w:hAnsi="Times New Roman" w:cs="Times New Roman"/>
          <w:sz w:val="24"/>
          <w:szCs w:val="24"/>
        </w:rPr>
        <w:t>Stability</w:t>
      </w:r>
      <w:r>
        <w:rPr>
          <w:rFonts w:ascii="Times New Roman" w:hAnsi="Times New Roman" w:cs="Times New Roman"/>
          <w:sz w:val="24"/>
          <w:szCs w:val="24"/>
        </w:rPr>
        <w:t>)</w:t>
      </w:r>
    </w:p>
    <w:p w14:paraId="6D69E7B7" w14:textId="69B37937" w:rsidR="009A22BA" w:rsidRDefault="009A22BA" w:rsidP="009A22BA">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Target (2027): Western Balkans (</w:t>
      </w:r>
      <w:r w:rsidRPr="009A22BA">
        <w:rPr>
          <w:rFonts w:ascii="Times New Roman" w:hAnsi="Times New Roman" w:cs="Times New Roman"/>
          <w:sz w:val="24"/>
          <w:szCs w:val="24"/>
        </w:rPr>
        <w:t>Stability</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Pr="009A22BA">
        <w:rPr>
          <w:rFonts w:ascii="Times New Roman" w:eastAsia="Times New Roman" w:hAnsi="Times New Roman" w:cs="Times New Roman"/>
          <w:iCs/>
          <w:sz w:val="24"/>
          <w:szCs w:val="24"/>
        </w:rPr>
        <w:t>Stability</w:t>
      </w:r>
      <w:r>
        <w:rPr>
          <w:rFonts w:ascii="Times New Roman" w:eastAsia="Times New Roman" w:hAnsi="Times New Roman" w:cs="Times New Roman"/>
          <w:iCs/>
          <w:sz w:val="24"/>
          <w:szCs w:val="24"/>
        </w:rPr>
        <w:t>)</w:t>
      </w:r>
    </w:p>
    <w:p w14:paraId="390CCF54" w14:textId="6B6325B5" w:rsidR="005739B7" w:rsidRPr="00C03C2F" w:rsidRDefault="005739B7" w:rsidP="005739B7">
      <w:pPr>
        <w:spacing w:after="120" w:line="240" w:lineRule="auto"/>
        <w:jc w:val="both"/>
        <w:rPr>
          <w:rFonts w:ascii="Times New Roman" w:hAnsi="Times New Roman" w:cs="Times New Roman"/>
          <w:i/>
          <w:iCs/>
          <w:sz w:val="24"/>
          <w:szCs w:val="24"/>
        </w:rPr>
      </w:pPr>
      <w:r w:rsidRPr="005742F9">
        <w:rPr>
          <w:rFonts w:ascii="Times New Roman" w:hAnsi="Times New Roman" w:cs="Times New Roman"/>
          <w:i/>
          <w:iCs/>
          <w:sz w:val="24"/>
          <w:szCs w:val="24"/>
        </w:rPr>
        <w:t>Thematic Priority 4: Fisheries</w:t>
      </w:r>
    </w:p>
    <w:p w14:paraId="482AE21A" w14:textId="50353C50" w:rsidR="00E82001" w:rsidRDefault="00E82001" w:rsidP="00472513">
      <w:pPr>
        <w:pStyle w:val="ListeParagraf"/>
        <w:numPr>
          <w:ilvl w:val="0"/>
          <w:numId w:val="1"/>
        </w:numPr>
        <w:spacing w:after="120" w:line="240" w:lineRule="auto"/>
        <w:jc w:val="both"/>
        <w:rPr>
          <w:rFonts w:ascii="Times New Roman" w:eastAsia="Times New Roman" w:hAnsi="Times New Roman" w:cs="Times New Roman"/>
          <w:iCs/>
          <w:sz w:val="24"/>
          <w:szCs w:val="24"/>
        </w:rPr>
      </w:pPr>
      <w:r w:rsidRPr="00E82001">
        <w:rPr>
          <w:rFonts w:ascii="Times New Roman" w:eastAsia="Times New Roman" w:hAnsi="Times New Roman" w:cs="Times New Roman"/>
          <w:iCs/>
          <w:sz w:val="24"/>
          <w:szCs w:val="24"/>
        </w:rPr>
        <w:t>Areas of marine, terrestrial and freshwater ecosystems under a) protection, b) sustainable management with IPA support (European Commission)</w:t>
      </w:r>
    </w:p>
    <w:p w14:paraId="2833B226" w14:textId="1325F920" w:rsidR="00E82001" w:rsidRPr="006F3F22" w:rsidRDefault="00E82001" w:rsidP="00564ACA">
      <w:pPr>
        <w:pStyle w:val="ListeParagraf"/>
        <w:spacing w:after="120" w:line="240" w:lineRule="auto"/>
        <w:jc w:val="both"/>
        <w:rPr>
          <w:rFonts w:ascii="Times New Roman" w:hAnsi="Times New Roman" w:cs="Times New Roman"/>
          <w:sz w:val="24"/>
          <w:szCs w:val="24"/>
        </w:rPr>
      </w:pPr>
      <w:r>
        <w:rPr>
          <w:rFonts w:ascii="Times New Roman" w:hAnsi="Times New Roman" w:cs="Times New Roman"/>
          <w:sz w:val="24"/>
          <w:szCs w:val="24"/>
        </w:rPr>
        <w:t>Baseline (2020): Western Balkans (0) and Turkey (0</w:t>
      </w:r>
      <w:r w:rsidRPr="006F3F22">
        <w:rPr>
          <w:rFonts w:ascii="Times New Roman" w:hAnsi="Times New Roman" w:cs="Times New Roman"/>
          <w:sz w:val="24"/>
          <w:szCs w:val="24"/>
        </w:rPr>
        <w:t>)</w:t>
      </w:r>
    </w:p>
    <w:p w14:paraId="62461306" w14:textId="0FD4624B" w:rsidR="00E82001" w:rsidRPr="006F3F22" w:rsidRDefault="00E82001" w:rsidP="00564ACA">
      <w:pPr>
        <w:pStyle w:val="ListeParagraf"/>
        <w:spacing w:after="120" w:line="240" w:lineRule="auto"/>
        <w:jc w:val="both"/>
        <w:rPr>
          <w:rFonts w:ascii="Times New Roman" w:hAnsi="Times New Roman" w:cs="Times New Roman"/>
          <w:sz w:val="24"/>
          <w:szCs w:val="24"/>
        </w:rPr>
      </w:pPr>
      <w:r>
        <w:rPr>
          <w:rFonts w:ascii="Times New Roman" w:hAnsi="Times New Roman" w:cs="Times New Roman"/>
          <w:sz w:val="24"/>
          <w:szCs w:val="24"/>
        </w:rPr>
        <w:t>Milestone (2022</w:t>
      </w:r>
      <w:r w:rsidRPr="006F3F22">
        <w:rPr>
          <w:rFonts w:ascii="Times New Roman" w:hAnsi="Times New Roman" w:cs="Times New Roman"/>
          <w:sz w:val="24"/>
          <w:szCs w:val="24"/>
        </w:rPr>
        <w:t>): Wes</w:t>
      </w:r>
      <w:r>
        <w:rPr>
          <w:rFonts w:ascii="Times New Roman" w:hAnsi="Times New Roman" w:cs="Times New Roman"/>
          <w:sz w:val="24"/>
          <w:szCs w:val="24"/>
        </w:rPr>
        <w:t>tern Balkans (</w:t>
      </w:r>
      <w:r w:rsidRPr="00E82001">
        <w:rPr>
          <w:rFonts w:ascii="Times New Roman" w:hAnsi="Times New Roman" w:cs="Times New Roman"/>
          <w:sz w:val="24"/>
          <w:szCs w:val="24"/>
        </w:rPr>
        <w:t>105% of final 2020 results</w:t>
      </w:r>
      <w:r>
        <w:rPr>
          <w:rFonts w:ascii="Times New Roman" w:hAnsi="Times New Roman" w:cs="Times New Roman"/>
          <w:sz w:val="24"/>
          <w:szCs w:val="24"/>
        </w:rPr>
        <w:t>) and Turkey (</w:t>
      </w:r>
      <w:r w:rsidRPr="00E82001">
        <w:rPr>
          <w:rFonts w:ascii="Times New Roman" w:hAnsi="Times New Roman" w:cs="Times New Roman"/>
          <w:sz w:val="24"/>
          <w:szCs w:val="24"/>
        </w:rPr>
        <w:t>105% of final 2020 results</w:t>
      </w:r>
      <w:r>
        <w:rPr>
          <w:rFonts w:ascii="Times New Roman" w:hAnsi="Times New Roman" w:cs="Times New Roman"/>
          <w:sz w:val="24"/>
          <w:szCs w:val="24"/>
        </w:rPr>
        <w:t>)</w:t>
      </w:r>
    </w:p>
    <w:p w14:paraId="3554C85D" w14:textId="4899212C" w:rsidR="00E82001" w:rsidRDefault="00E82001" w:rsidP="00564ACA">
      <w:pPr>
        <w:pStyle w:val="ListeParagraf"/>
        <w:spacing w:after="120" w:line="240" w:lineRule="auto"/>
        <w:jc w:val="both"/>
        <w:rPr>
          <w:rFonts w:ascii="Times New Roman" w:eastAsia="Times New Roman" w:hAnsi="Times New Roman" w:cs="Times New Roman"/>
          <w:iCs/>
          <w:sz w:val="24"/>
          <w:szCs w:val="24"/>
        </w:rPr>
      </w:pPr>
      <w:r w:rsidRPr="006F3F22">
        <w:rPr>
          <w:rFonts w:ascii="Times New Roman" w:hAnsi="Times New Roman" w:cs="Times New Roman"/>
          <w:sz w:val="24"/>
          <w:szCs w:val="24"/>
        </w:rPr>
        <w:t xml:space="preserve">Target (2027): Western Balkans </w:t>
      </w:r>
      <w:r>
        <w:rPr>
          <w:rFonts w:ascii="Times New Roman" w:hAnsi="Times New Roman" w:cs="Times New Roman"/>
          <w:sz w:val="24"/>
          <w:szCs w:val="24"/>
        </w:rPr>
        <w:t>(</w:t>
      </w:r>
      <w:r w:rsidRPr="00E82001">
        <w:rPr>
          <w:rFonts w:ascii="Times New Roman" w:hAnsi="Times New Roman" w:cs="Times New Roman"/>
          <w:sz w:val="24"/>
          <w:szCs w:val="24"/>
        </w:rPr>
        <w:t>112,5% of final 2020 results</w:t>
      </w:r>
      <w:r w:rsidRPr="006F3F22">
        <w:rPr>
          <w:rFonts w:ascii="Times New Roman" w:hAnsi="Times New Roman" w:cs="Times New Roman"/>
          <w:sz w:val="24"/>
          <w:szCs w:val="24"/>
        </w:rPr>
        <w:t>) and</w:t>
      </w:r>
      <w:r w:rsidRPr="006F3F22">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Turkey (</w:t>
      </w:r>
      <w:r w:rsidRPr="00E82001">
        <w:rPr>
          <w:rFonts w:ascii="Times New Roman" w:eastAsia="Times New Roman" w:hAnsi="Times New Roman" w:cs="Times New Roman"/>
          <w:iCs/>
          <w:sz w:val="24"/>
          <w:szCs w:val="24"/>
        </w:rPr>
        <w:t>112,5% of final 2020 results</w:t>
      </w:r>
      <w:r>
        <w:rPr>
          <w:rFonts w:ascii="Times New Roman" w:eastAsia="Times New Roman" w:hAnsi="Times New Roman" w:cs="Times New Roman"/>
          <w:iCs/>
          <w:sz w:val="24"/>
          <w:szCs w:val="24"/>
        </w:rPr>
        <w:t>)</w:t>
      </w:r>
    </w:p>
    <w:p w14:paraId="385AD8D4" w14:textId="77777777" w:rsidR="005739B7" w:rsidRPr="005742F9" w:rsidRDefault="005739B7" w:rsidP="00BF746D">
      <w:pPr>
        <w:keepNext/>
        <w:numPr>
          <w:ilvl w:val="0"/>
          <w:numId w:val="15"/>
        </w:numPr>
        <w:spacing w:after="120" w:line="240" w:lineRule="auto"/>
        <w:rPr>
          <w:rFonts w:ascii="Times New Roman" w:hAnsi="Times New Roman" w:cs="Times New Roman"/>
          <w:b/>
          <w:bCs/>
        </w:rPr>
      </w:pPr>
      <w:r w:rsidRPr="005742F9">
        <w:rPr>
          <w:rFonts w:ascii="Times New Roman" w:hAnsi="Times New Roman" w:cs="Times New Roman"/>
          <w:b/>
          <w:bCs/>
        </w:rPr>
        <w:t>Assumptions &amp; Risks</w:t>
      </w:r>
    </w:p>
    <w:p w14:paraId="103D1FA0" w14:textId="77777777" w:rsidR="005739B7" w:rsidRPr="00C03C2F" w:rsidRDefault="005739B7" w:rsidP="00BF746D">
      <w:pPr>
        <w:keepNext/>
        <w:spacing w:after="120" w:line="240" w:lineRule="auto"/>
        <w:jc w:val="both"/>
        <w:rPr>
          <w:rFonts w:ascii="Times New Roman" w:hAnsi="Times New Roman" w:cs="Times New Roman"/>
          <w:i/>
          <w:iCs/>
          <w:sz w:val="24"/>
          <w:szCs w:val="24"/>
          <w:u w:val="single"/>
        </w:rPr>
      </w:pPr>
      <w:r w:rsidRPr="005742F9">
        <w:rPr>
          <w:rFonts w:ascii="Times New Roman" w:hAnsi="Times New Roman" w:cs="Times New Roman"/>
          <w:i/>
          <w:iCs/>
          <w:sz w:val="24"/>
          <w:szCs w:val="24"/>
          <w:u w:val="single"/>
        </w:rPr>
        <w:t>Assumptions</w:t>
      </w:r>
    </w:p>
    <w:p w14:paraId="13F2F21A"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There is a continuous commitment, steered and coordinated at the highest level of the government, to address the key priorities under this Window.</w:t>
      </w:r>
      <w:r>
        <w:rPr>
          <w:rFonts w:ascii="Times New Roman" w:eastAsia="Calibri" w:hAnsi="Times New Roman" w:cs="Times New Roman"/>
          <w:sz w:val="24"/>
          <w:szCs w:val="24"/>
        </w:rPr>
        <w:t xml:space="preserve"> </w:t>
      </w:r>
    </w:p>
    <w:p w14:paraId="6A3E9307"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 xml:space="preserve">IPA III beneficiaries are committed to upgrading their strategies and sectoral approaches in line with relevant assessments, including peer reviews. </w:t>
      </w:r>
    </w:p>
    <w:p w14:paraId="7D9B6D99" w14:textId="77777777" w:rsidR="005739B7" w:rsidRPr="005742F9" w:rsidRDefault="005739B7" w:rsidP="005739B7">
      <w:pPr>
        <w:numPr>
          <w:ilvl w:val="0"/>
          <w:numId w:val="4"/>
        </w:numPr>
        <w:spacing w:after="120" w:line="240" w:lineRule="auto"/>
        <w:jc w:val="both"/>
        <w:rPr>
          <w:rFonts w:ascii="Times New Roman" w:eastAsia="Calibri" w:hAnsi="Times New Roman" w:cs="Times New Roman"/>
          <w:sz w:val="24"/>
          <w:szCs w:val="24"/>
        </w:rPr>
      </w:pPr>
      <w:r w:rsidRPr="005742F9">
        <w:rPr>
          <w:rFonts w:ascii="Times New Roman" w:eastAsia="Calibri" w:hAnsi="Times New Roman" w:cs="Times New Roman"/>
          <w:sz w:val="24"/>
          <w:szCs w:val="24"/>
        </w:rPr>
        <w:t>The necessary domestic financial and administrative resources are effectively and efficiently mobilised</w:t>
      </w:r>
    </w:p>
    <w:p w14:paraId="4EC882AA" w14:textId="77777777" w:rsidR="005739B7" w:rsidRPr="00C03C2F" w:rsidRDefault="005739B7" w:rsidP="005739B7">
      <w:pPr>
        <w:spacing w:after="120" w:line="240" w:lineRule="auto"/>
        <w:jc w:val="both"/>
        <w:rPr>
          <w:rFonts w:ascii="Times New Roman" w:hAnsi="Times New Roman" w:cs="Times New Roman"/>
          <w:i/>
          <w:iCs/>
          <w:sz w:val="24"/>
          <w:szCs w:val="24"/>
          <w:u w:val="single"/>
        </w:rPr>
      </w:pPr>
      <w:r w:rsidRPr="005742F9">
        <w:rPr>
          <w:rFonts w:ascii="Times New Roman" w:hAnsi="Times New Roman" w:cs="Times New Roman"/>
          <w:i/>
          <w:iCs/>
          <w:sz w:val="24"/>
          <w:szCs w:val="24"/>
          <w:u w:val="single"/>
        </w:rPr>
        <w:t>Risks</w:t>
      </w:r>
    </w:p>
    <w:p w14:paraId="7D4985CD"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Any deterioration of good neighbourly relations among IPA beneficiaries can affect the foreseen progress in the areas covered by this Window. Mitigation measures shall focus on addressing potential issues with intensified policy dialogue at the highest political level with all parties concerned and constant monitoring of progress in this concern.</w:t>
      </w:r>
    </w:p>
    <w:p w14:paraId="089F05B5"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At the same time, the influence of third countries in the region, which neglect socio-economic and financial sustainability and EU rules on public procurement, may result in high levels of indebtedness and transfer of control over strategic assets and resources. To mitigate such a risk it is necessary that the beneficiaries are</w:t>
      </w:r>
      <w:r>
        <w:rPr>
          <w:rFonts w:ascii="Times New Roman" w:hAnsi="Times New Roman" w:cs="Times New Roman"/>
          <w:sz w:val="24"/>
          <w:szCs w:val="24"/>
        </w:rPr>
        <w:t xml:space="preserve"> encouraged to fully implement </w:t>
      </w:r>
      <w:r w:rsidRPr="005742F9">
        <w:rPr>
          <w:rFonts w:ascii="Times New Roman" w:hAnsi="Times New Roman" w:cs="Times New Roman"/>
          <w:sz w:val="24"/>
          <w:szCs w:val="24"/>
        </w:rPr>
        <w:t>the Stabilisation and Association Agreements with the EU and prioritise reforms in the relevant negotiation chapters of the accession process and the Economic Reform Program</w:t>
      </w:r>
      <w:r>
        <w:rPr>
          <w:rFonts w:ascii="Times New Roman" w:hAnsi="Times New Roman" w:cs="Times New Roman"/>
          <w:sz w:val="24"/>
          <w:szCs w:val="24"/>
        </w:rPr>
        <w:t>me</w:t>
      </w:r>
      <w:r w:rsidRPr="005742F9">
        <w:rPr>
          <w:rFonts w:ascii="Times New Roman" w:hAnsi="Times New Roman" w:cs="Times New Roman"/>
          <w:sz w:val="24"/>
          <w:szCs w:val="24"/>
        </w:rPr>
        <w:t>s.</w:t>
      </w:r>
    </w:p>
    <w:p w14:paraId="57AAAA86" w14:textId="77777777"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From an institutional viewpoint there are risks related to variable capacities and high staff turnover in the public administration and more specifically in the structures and agencies set up to manage IPA funds under the indirect implementation method, including other beneficiary institutions. </w:t>
      </w:r>
    </w:p>
    <w:p w14:paraId="495CB23E"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Lack of inter-institutional coordination and consistency between strategies and activities financed from IPA, own beneficiaries’ resources and other external sources of funds can also undermine the effectiveness of EU financing. </w:t>
      </w:r>
    </w:p>
    <w:p w14:paraId="042ECD05"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Given the fragility of the regional economy, as well as the risks in the wider European and global context, the effectiveness of both educational reforms and employment policies could be damaged.</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Adequate safeguards and risk mitigation will have to be built into any systems and/or processes developed. There is also a risk that the political commitments made to protect and support vulnerable persons, disabled people, minorities and Roma communities are not followed by concrete actions by the authorities. </w:t>
      </w:r>
    </w:p>
    <w:p w14:paraId="127BD9CA" w14:textId="3723C035"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Limited access to credit and access to finance in general can play a negative effect on the development of agricultural activities and on the development of rural areas. It can also slow down private sector development and competitiveness and reduce investments in innovation and research. Weak advisory services and underdeveloped electronic document management and information systems may be other factors significantly impeding implementation of assistance in agricultural sector.</w:t>
      </w:r>
      <w:r>
        <w:rPr>
          <w:rFonts w:ascii="Times New Roman" w:hAnsi="Times New Roman" w:cs="Times New Roman"/>
          <w:sz w:val="24"/>
          <w:szCs w:val="24"/>
        </w:rPr>
        <w:t xml:space="preserve"> Another risk is the ru</w:t>
      </w:r>
      <w:r w:rsidRPr="003E1443">
        <w:rPr>
          <w:rFonts w:ascii="Times New Roman" w:hAnsi="Times New Roman" w:cs="Times New Roman"/>
          <w:sz w:val="24"/>
          <w:szCs w:val="24"/>
        </w:rPr>
        <w:t>ral depopulation and exodus of young people from rural areas</w:t>
      </w:r>
      <w:r w:rsidR="00B975F4">
        <w:rPr>
          <w:rFonts w:ascii="Times New Roman" w:hAnsi="Times New Roman" w:cs="Times New Roman"/>
          <w:sz w:val="24"/>
          <w:szCs w:val="24"/>
        </w:rPr>
        <w:t>.</w:t>
      </w:r>
    </w:p>
    <w:p w14:paraId="339947C5" w14:textId="280FEB0A" w:rsidR="005739B7"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Infrastructure investments will yield the expected social and economic benefits if they are properly prepared both in terms of sound technical, environmental and financial studies and if are free from possible disputes arising from land expropriation, and building permits. In addition, there is the risk that not enough resources will be allocated for operation and maintenance costs of the IPA-funded investments, such as infrastructure, IT systems, equipment, etc., jeopardising their proper utilisation and sustainability.</w:t>
      </w:r>
    </w:p>
    <w:p w14:paraId="1528E67C" w14:textId="77777777" w:rsidR="00885EAB" w:rsidRDefault="00885EAB" w:rsidP="005739B7">
      <w:pPr>
        <w:spacing w:after="120" w:line="240" w:lineRule="auto"/>
        <w:jc w:val="both"/>
        <w:rPr>
          <w:rFonts w:ascii="Times New Roman" w:hAnsi="Times New Roman" w:cs="Times New Roman"/>
          <w:sz w:val="24"/>
          <w:szCs w:val="24"/>
        </w:rPr>
        <w:sectPr w:rsidR="00885EAB" w:rsidSect="00F7435B">
          <w:footerReference w:type="even" r:id="rId23"/>
          <w:footerReference w:type="default" r:id="rId24"/>
          <w:type w:val="continuous"/>
          <w:pgSz w:w="11906" w:h="16838"/>
          <w:pgMar w:top="1440" w:right="1440" w:bottom="1440" w:left="1440" w:header="708" w:footer="708" w:gutter="0"/>
          <w:cols w:space="708"/>
          <w:docGrid w:linePitch="360"/>
        </w:sectPr>
      </w:pPr>
    </w:p>
    <w:p w14:paraId="1A630EFC" w14:textId="77777777" w:rsidR="005739B7" w:rsidRPr="00453C02" w:rsidRDefault="005739B7" w:rsidP="005739B7">
      <w:pPr>
        <w:pBdr>
          <w:top w:val="single" w:sz="4" w:space="1" w:color="auto"/>
          <w:left w:val="single" w:sz="4" w:space="1" w:color="auto"/>
          <w:bottom w:val="single" w:sz="4" w:space="1" w:color="auto"/>
          <w:right w:val="single" w:sz="4" w:space="1" w:color="auto"/>
        </w:pBdr>
        <w:spacing w:after="0"/>
        <w:rPr>
          <w:rFonts w:ascii="Times New Roman" w:hAnsi="Times New Roman"/>
          <w:b/>
          <w:sz w:val="24"/>
        </w:rPr>
      </w:pPr>
    </w:p>
    <w:p w14:paraId="654298C9" w14:textId="77777777" w:rsidR="005739B7" w:rsidRPr="00173A5B" w:rsidRDefault="005739B7" w:rsidP="005739B7">
      <w:pPr>
        <w:pStyle w:val="Balk1"/>
        <w:pBdr>
          <w:top w:val="single" w:sz="4" w:space="1" w:color="auto"/>
          <w:left w:val="single" w:sz="4" w:space="1" w:color="auto"/>
          <w:bottom w:val="single" w:sz="4" w:space="1" w:color="auto"/>
          <w:right w:val="single" w:sz="4" w:space="1" w:color="auto"/>
        </w:pBdr>
        <w:spacing w:before="0"/>
        <w:jc w:val="center"/>
        <w:rPr>
          <w:rFonts w:ascii="Times New Roman" w:hAnsi="Times New Roman" w:cs="Times New Roman"/>
          <w:b/>
          <w:bCs/>
          <w:color w:val="000000" w:themeColor="text1"/>
        </w:rPr>
      </w:pPr>
      <w:bookmarkStart w:id="26" w:name="_Toc46402483"/>
      <w:bookmarkStart w:id="27" w:name="_Toc46402558"/>
      <w:bookmarkStart w:id="28" w:name="_Toc46480672"/>
      <w:bookmarkStart w:id="29" w:name="_Toc55992239"/>
      <w:bookmarkStart w:id="30" w:name="_Toc56584496"/>
      <w:r w:rsidRPr="36BE81E9">
        <w:rPr>
          <w:rFonts w:ascii="Times New Roman" w:hAnsi="Times New Roman" w:cs="Times New Roman"/>
          <w:b/>
          <w:bCs/>
          <w:color w:val="000000" w:themeColor="text1"/>
        </w:rPr>
        <w:t>WINDOW 5 - TERRITORIAL AND CROSS BORDER COOPERATION</w:t>
      </w:r>
      <w:bookmarkEnd w:id="26"/>
      <w:bookmarkEnd w:id="27"/>
      <w:bookmarkEnd w:id="28"/>
      <w:bookmarkEnd w:id="29"/>
      <w:bookmarkEnd w:id="30"/>
    </w:p>
    <w:p w14:paraId="46EC3C8C" w14:textId="77777777" w:rsidR="005739B7" w:rsidRPr="00453C02" w:rsidRDefault="005739B7" w:rsidP="005739B7">
      <w:pPr>
        <w:pBdr>
          <w:top w:val="single" w:sz="4" w:space="1" w:color="auto"/>
          <w:left w:val="single" w:sz="4" w:space="1" w:color="auto"/>
          <w:bottom w:val="single" w:sz="4" w:space="1" w:color="auto"/>
          <w:right w:val="single" w:sz="4" w:space="1" w:color="auto"/>
        </w:pBdr>
        <w:spacing w:after="0"/>
        <w:rPr>
          <w:rFonts w:ascii="Times New Roman" w:hAnsi="Times New Roman" w:cs="Times New Roman"/>
          <w:b/>
          <w:sz w:val="24"/>
          <w:szCs w:val="28"/>
        </w:rPr>
      </w:pPr>
    </w:p>
    <w:p w14:paraId="6FDBA56B" w14:textId="77777777" w:rsidR="005739B7" w:rsidRDefault="005739B7" w:rsidP="005739B7">
      <w:pPr>
        <w:spacing w:after="0"/>
        <w:jc w:val="both"/>
        <w:rPr>
          <w:rFonts w:ascii="Times New Roman" w:hAnsi="Times New Roman" w:cs="Times New Roman"/>
          <w:b/>
          <w:bCs/>
          <w:sz w:val="24"/>
          <w:szCs w:val="24"/>
        </w:rPr>
      </w:pPr>
    </w:p>
    <w:p w14:paraId="5865DC8D" w14:textId="77777777" w:rsidR="005739B7" w:rsidRDefault="005739B7" w:rsidP="005739B7">
      <w:pPr>
        <w:spacing w:after="0"/>
        <w:jc w:val="both"/>
        <w:rPr>
          <w:rFonts w:ascii="Times New Roman" w:hAnsi="Times New Roman" w:cs="Times New Roman"/>
          <w:b/>
          <w:bCs/>
          <w:sz w:val="24"/>
          <w:szCs w:val="24"/>
        </w:rPr>
      </w:pPr>
    </w:p>
    <w:p w14:paraId="56CAEF9A" w14:textId="77777777" w:rsidR="005739B7" w:rsidRPr="005742F9" w:rsidRDefault="005739B7" w:rsidP="005739B7">
      <w:pPr>
        <w:spacing w:after="0"/>
        <w:jc w:val="both"/>
        <w:rPr>
          <w:rFonts w:ascii="Times New Roman" w:hAnsi="Times New Roman" w:cs="Times New Roman"/>
          <w:b/>
          <w:bCs/>
          <w:sz w:val="24"/>
          <w:szCs w:val="24"/>
        </w:rPr>
      </w:pPr>
    </w:p>
    <w:p w14:paraId="4256D3BE" w14:textId="77777777" w:rsidR="005739B7" w:rsidRPr="005742F9" w:rsidRDefault="005739B7" w:rsidP="005739B7">
      <w:pPr>
        <w:spacing w:before="120" w:after="120" w:line="240" w:lineRule="auto"/>
        <w:jc w:val="both"/>
        <w:rPr>
          <w:rFonts w:ascii="Times New Roman" w:hAnsi="Times New Roman" w:cs="Times New Roman"/>
          <w:b/>
          <w:bCs/>
          <w:sz w:val="24"/>
          <w:szCs w:val="24"/>
        </w:rPr>
      </w:pPr>
      <w:r w:rsidRPr="36BE81E9">
        <w:rPr>
          <w:rFonts w:ascii="Times New Roman" w:hAnsi="Times New Roman" w:cs="Times New Roman"/>
          <w:b/>
          <w:bCs/>
          <w:sz w:val="24"/>
          <w:szCs w:val="24"/>
        </w:rPr>
        <w:t xml:space="preserve">1. Structure </w:t>
      </w:r>
    </w:p>
    <w:p w14:paraId="1805EFFA" w14:textId="4EC6A41A" w:rsidR="005739B7" w:rsidRPr="00C03C2F"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The EU actively promotes territorial cohesion to reduce disparities between regions and backwardness of the least favoured territories. European Territorial Cooperation (ETC) provides the necessary framework for implementation of joint actions and policy exchanges between national, regional and local actors across Europe, external borders and outermost regions.</w:t>
      </w:r>
      <w:r w:rsidR="00122EFB" w:rsidRPr="00122EFB">
        <w:t xml:space="preserve"> </w:t>
      </w:r>
      <w:r w:rsidR="00122EFB" w:rsidRPr="00CD66A5">
        <w:rPr>
          <w:rFonts w:ascii="Times New Roman" w:hAnsi="Times New Roman" w:cs="Times New Roman"/>
          <w:sz w:val="24"/>
        </w:rPr>
        <w:t xml:space="preserve">The focus is on </w:t>
      </w:r>
      <w:r w:rsidR="00122EFB" w:rsidRPr="00CD66A5">
        <w:rPr>
          <w:rFonts w:ascii="Times New Roman" w:hAnsi="Times New Roman" w:cs="Times New Roman"/>
          <w:sz w:val="24"/>
          <w:szCs w:val="24"/>
        </w:rPr>
        <w:t>s</w:t>
      </w:r>
      <w:r w:rsidR="00122EFB" w:rsidRPr="00122EFB">
        <w:rPr>
          <w:rFonts w:ascii="Times New Roman" w:hAnsi="Times New Roman" w:cs="Times New Roman"/>
          <w:sz w:val="24"/>
          <w:szCs w:val="24"/>
        </w:rPr>
        <w:t>trengthening cooperation by means of actions conducive to integrated territorial development linked to the Union's priorities</w:t>
      </w:r>
      <w:r w:rsidR="00122EFB">
        <w:rPr>
          <w:rFonts w:ascii="Times New Roman" w:hAnsi="Times New Roman" w:cs="Times New Roman"/>
          <w:sz w:val="24"/>
          <w:szCs w:val="24"/>
        </w:rPr>
        <w:t>.</w:t>
      </w:r>
    </w:p>
    <w:p w14:paraId="36D3F607" w14:textId="1ABE0346" w:rsidR="005739B7" w:rsidRPr="0039204D" w:rsidRDefault="005739B7" w:rsidP="005739B7">
      <w:pPr>
        <w:spacing w:after="120" w:line="240" w:lineRule="auto"/>
        <w:jc w:val="both"/>
        <w:rPr>
          <w:rFonts w:ascii="Times New Roman" w:hAnsi="Times New Roman" w:cs="Times New Roman"/>
          <w:sz w:val="24"/>
          <w:szCs w:val="24"/>
        </w:rPr>
      </w:pPr>
      <w:r w:rsidRPr="0039204D">
        <w:rPr>
          <w:rFonts w:ascii="Times New Roman" w:hAnsi="Times New Roman" w:cs="Times New Roman"/>
          <w:sz w:val="24"/>
          <w:szCs w:val="24"/>
        </w:rPr>
        <w:t>The Instrument for Pre-accession Assistance (IPA III) will continue to provide support for the participation of IPA III beneficiaries in the following territorial cooperation programmes.</w:t>
      </w:r>
    </w:p>
    <w:p w14:paraId="7C924AD3" w14:textId="77777777" w:rsidR="005739B7" w:rsidRPr="0039204D" w:rsidRDefault="005739B7" w:rsidP="005739B7">
      <w:pPr>
        <w:spacing w:before="120" w:after="120" w:line="240" w:lineRule="auto"/>
        <w:jc w:val="both"/>
        <w:rPr>
          <w:rFonts w:ascii="Times New Roman" w:eastAsia="Times New Roman" w:hAnsi="Times New Roman" w:cs="Times New Roman"/>
          <w:b/>
          <w:bCs/>
          <w:i/>
          <w:iCs/>
          <w:sz w:val="24"/>
          <w:szCs w:val="24"/>
          <w:lang w:eastAsia="fr-FR"/>
        </w:rPr>
      </w:pPr>
      <w:r w:rsidRPr="36BE81E9">
        <w:rPr>
          <w:rFonts w:ascii="Times New Roman" w:eastAsia="Times New Roman" w:hAnsi="Times New Roman" w:cs="Times New Roman"/>
          <w:lang w:val="en-US" w:eastAsia="fr-FR"/>
        </w:rPr>
        <w:t xml:space="preserve"> </w:t>
      </w:r>
      <w:r w:rsidRPr="36BE81E9">
        <w:rPr>
          <w:rFonts w:ascii="Times New Roman" w:eastAsia="Times New Roman" w:hAnsi="Times New Roman" w:cs="Times New Roman"/>
          <w:b/>
          <w:bCs/>
          <w:i/>
          <w:iCs/>
          <w:sz w:val="24"/>
          <w:szCs w:val="24"/>
          <w:lang w:eastAsia="fr-FR"/>
        </w:rPr>
        <w:t xml:space="preserve">Cross-Border Cooperation (CBC) between IPA beneficiaries (IPA-IPA CBC). </w:t>
      </w:r>
    </w:p>
    <w:p w14:paraId="134D6A28" w14:textId="77777777" w:rsidR="005739B7" w:rsidRPr="0039204D" w:rsidRDefault="005739B7" w:rsidP="005739B7">
      <w:pPr>
        <w:spacing w:after="120" w:line="240" w:lineRule="auto"/>
        <w:ind w:left="426"/>
        <w:jc w:val="both"/>
        <w:rPr>
          <w:rFonts w:ascii="Times New Roman" w:hAnsi="Times New Roman" w:cs="Times New Roman"/>
          <w:sz w:val="24"/>
          <w:szCs w:val="24"/>
        </w:rPr>
      </w:pPr>
      <w:r w:rsidRPr="36BE81E9">
        <w:rPr>
          <w:rFonts w:ascii="Times New Roman" w:hAnsi="Times New Roman" w:cs="Times New Roman"/>
          <w:sz w:val="24"/>
          <w:szCs w:val="24"/>
        </w:rPr>
        <w:t xml:space="preserve">This relates to cooperation among IPA III beneficiaries that share a common border. The following sections of this chapter will be dedicated to outline the objectives and implementation modalities for IPA-IPA CBC programmes only (the other types of territorial cooperation will be covered in the ETC strategy documents). </w:t>
      </w:r>
    </w:p>
    <w:p w14:paraId="1BEE2A6B" w14:textId="77777777" w:rsidR="005739B7" w:rsidRPr="005742F9" w:rsidRDefault="005739B7" w:rsidP="005739B7">
      <w:pPr>
        <w:spacing w:after="120" w:line="240" w:lineRule="auto"/>
        <w:ind w:left="426"/>
        <w:jc w:val="both"/>
        <w:rPr>
          <w:rFonts w:ascii="Times New Roman" w:hAnsi="Times New Roman" w:cs="Times New Roman"/>
          <w:sz w:val="24"/>
          <w:szCs w:val="24"/>
        </w:rPr>
      </w:pPr>
      <w:r w:rsidRPr="36BE81E9">
        <w:rPr>
          <w:rFonts w:ascii="Times New Roman" w:hAnsi="Times New Roman" w:cs="Times New Roman"/>
          <w:sz w:val="24"/>
          <w:szCs w:val="24"/>
        </w:rPr>
        <w:t>These programmes will be prepared and submitted by two (or more) IPA III beneficiaries. They should cover the whole duration of the MFF (2021 – 2027). CBC programmes involving more than two beneficiaries are also encouraged.</w:t>
      </w:r>
    </w:p>
    <w:p w14:paraId="1ADE12F4" w14:textId="06904FA0" w:rsidR="005739B7" w:rsidRPr="0039204D" w:rsidRDefault="005739B7" w:rsidP="005739B7">
      <w:pPr>
        <w:spacing w:after="120" w:line="240" w:lineRule="auto"/>
        <w:ind w:left="426"/>
        <w:jc w:val="both"/>
        <w:rPr>
          <w:rFonts w:ascii="Times New Roman" w:hAnsi="Times New Roman" w:cs="Times New Roman"/>
          <w:sz w:val="24"/>
          <w:szCs w:val="24"/>
        </w:rPr>
      </w:pPr>
      <w:r w:rsidRPr="36BE81E9">
        <w:rPr>
          <w:rFonts w:ascii="Times New Roman" w:hAnsi="Times New Roman" w:cs="Times New Roman"/>
          <w:sz w:val="24"/>
          <w:szCs w:val="24"/>
        </w:rPr>
        <w:t xml:space="preserve">In addition to the programmes supported with the previous instruments, in line with the objective of reconciliation and normalisation of relations between Serbia and Kosovo, and once the conditions are in place, IPA assistance shall also support territorial cooperation between these two IPA </w:t>
      </w:r>
      <w:r w:rsidR="00122EFB">
        <w:rPr>
          <w:rFonts w:ascii="Times New Roman" w:hAnsi="Times New Roman" w:cs="Times New Roman"/>
          <w:sz w:val="24"/>
          <w:szCs w:val="24"/>
        </w:rPr>
        <w:t>b</w:t>
      </w:r>
      <w:r w:rsidRPr="36BE81E9">
        <w:rPr>
          <w:rFonts w:ascii="Times New Roman" w:hAnsi="Times New Roman" w:cs="Times New Roman"/>
          <w:sz w:val="24"/>
          <w:szCs w:val="24"/>
        </w:rPr>
        <w:t xml:space="preserve">eneficiaries. </w:t>
      </w:r>
    </w:p>
    <w:p w14:paraId="5489EA70" w14:textId="77777777" w:rsidR="005739B7" w:rsidRPr="0039204D" w:rsidRDefault="005739B7" w:rsidP="005739B7">
      <w:pPr>
        <w:spacing w:before="120" w:after="120" w:line="240" w:lineRule="auto"/>
        <w:jc w:val="both"/>
        <w:rPr>
          <w:rFonts w:ascii="Times New Roman" w:eastAsia="Times New Roman" w:hAnsi="Times New Roman" w:cs="Times New Roman"/>
          <w:b/>
          <w:bCs/>
          <w:i/>
          <w:iCs/>
          <w:sz w:val="24"/>
          <w:szCs w:val="24"/>
          <w:lang w:val="en-US" w:eastAsia="fr-FR"/>
        </w:rPr>
      </w:pPr>
      <w:r w:rsidRPr="36BE81E9">
        <w:rPr>
          <w:rFonts w:ascii="Times New Roman" w:eastAsia="Times New Roman" w:hAnsi="Times New Roman" w:cs="Times New Roman"/>
          <w:b/>
          <w:bCs/>
          <w:i/>
          <w:iCs/>
          <w:sz w:val="24"/>
          <w:szCs w:val="24"/>
          <w:lang w:val="en-US" w:eastAsia="fr-FR"/>
        </w:rPr>
        <w:t>Cross-Border Cooperation between IPA III beneficiaries and Member States (Interreg-IPA CBC).</w:t>
      </w:r>
      <w:r>
        <w:rPr>
          <w:rFonts w:ascii="Times New Roman" w:eastAsia="Times New Roman" w:hAnsi="Times New Roman" w:cs="Times New Roman"/>
          <w:b/>
          <w:bCs/>
          <w:i/>
          <w:iCs/>
          <w:sz w:val="24"/>
          <w:szCs w:val="24"/>
          <w:lang w:val="en-US" w:eastAsia="fr-FR"/>
        </w:rPr>
        <w:t xml:space="preserve"> </w:t>
      </w:r>
    </w:p>
    <w:p w14:paraId="49F3B5AF" w14:textId="5F05F6EE" w:rsidR="005739B7" w:rsidRDefault="005739B7" w:rsidP="005739B7">
      <w:pPr>
        <w:spacing w:after="120" w:line="240" w:lineRule="auto"/>
        <w:ind w:left="426"/>
        <w:jc w:val="both"/>
        <w:rPr>
          <w:rFonts w:ascii="Times New Roman" w:hAnsi="Times New Roman" w:cs="Times New Roman"/>
          <w:sz w:val="24"/>
          <w:szCs w:val="24"/>
        </w:rPr>
      </w:pPr>
      <w:r w:rsidRPr="36BE81E9">
        <w:rPr>
          <w:rFonts w:ascii="Times New Roman" w:hAnsi="Times New Roman" w:cs="Times New Roman"/>
          <w:sz w:val="24"/>
          <w:szCs w:val="24"/>
        </w:rPr>
        <w:t>IPA III will financially support cooperation between adjacent land border regions of at least one Member State and one or more IPA III beneficiary. IPA III funds are pooled together with European Regional Development Funds (ERDF). These programmes are implemented in shared management under the rules for implementation defined in the ETC Regulation</w:t>
      </w:r>
      <w:r w:rsidR="003751E0">
        <w:rPr>
          <w:rStyle w:val="DipnotBavurusu"/>
          <w:rFonts w:ascii="Times New Roman" w:hAnsi="Times New Roman" w:cs="Times New Roman"/>
          <w:sz w:val="24"/>
          <w:szCs w:val="24"/>
        </w:rPr>
        <w:footnoteReference w:id="43"/>
      </w:r>
      <w:r w:rsidRPr="36BE81E9">
        <w:rPr>
          <w:rFonts w:ascii="Times New Roman" w:hAnsi="Times New Roman" w:cs="Times New Roman"/>
          <w:sz w:val="24"/>
          <w:szCs w:val="24"/>
        </w:rPr>
        <w:t xml:space="preserve">. The strategy document covering Interreg-IPA CBC </w:t>
      </w:r>
      <w:r>
        <w:rPr>
          <w:rFonts w:ascii="Times New Roman" w:hAnsi="Times New Roman" w:cs="Times New Roman"/>
          <w:sz w:val="24"/>
          <w:szCs w:val="24"/>
        </w:rPr>
        <w:t xml:space="preserve">Programmes </w:t>
      </w:r>
      <w:r w:rsidRPr="36BE81E9">
        <w:rPr>
          <w:rFonts w:ascii="Times New Roman" w:hAnsi="Times New Roman" w:cs="Times New Roman"/>
          <w:sz w:val="24"/>
          <w:szCs w:val="24"/>
        </w:rPr>
        <w:t>will be developed as part of the ETC programming.</w:t>
      </w:r>
    </w:p>
    <w:p w14:paraId="258DE31A" w14:textId="4E07E53A" w:rsidR="005739B7" w:rsidRPr="0039204D" w:rsidRDefault="005739B7" w:rsidP="005739B7">
      <w:pPr>
        <w:spacing w:before="120" w:after="120" w:line="240" w:lineRule="auto"/>
        <w:jc w:val="both"/>
        <w:rPr>
          <w:rFonts w:ascii="Times New Roman" w:eastAsia="Times New Roman" w:hAnsi="Times New Roman" w:cs="Times New Roman"/>
          <w:b/>
          <w:bCs/>
          <w:i/>
          <w:iCs/>
          <w:sz w:val="24"/>
          <w:szCs w:val="24"/>
          <w:lang w:eastAsia="fr-FR"/>
        </w:rPr>
      </w:pPr>
      <w:r w:rsidRPr="36BE81E9">
        <w:rPr>
          <w:rFonts w:ascii="Times New Roman" w:eastAsia="Times New Roman" w:hAnsi="Times New Roman" w:cs="Times New Roman"/>
          <w:b/>
          <w:bCs/>
          <w:i/>
          <w:iCs/>
          <w:sz w:val="24"/>
          <w:szCs w:val="24"/>
          <w:lang w:eastAsia="fr-FR"/>
        </w:rPr>
        <w:t>European Regional Development Fund (ERDF) transnational</w:t>
      </w:r>
      <w:r w:rsidR="008027F1">
        <w:rPr>
          <w:rFonts w:ascii="Times New Roman" w:eastAsia="Times New Roman" w:hAnsi="Times New Roman" w:cs="Times New Roman"/>
          <w:b/>
          <w:bCs/>
          <w:i/>
          <w:iCs/>
          <w:sz w:val="24"/>
          <w:szCs w:val="24"/>
          <w:lang w:eastAsia="fr-FR"/>
        </w:rPr>
        <w:t xml:space="preserve"> </w:t>
      </w:r>
      <w:r w:rsidRPr="36BE81E9">
        <w:rPr>
          <w:rFonts w:ascii="Times New Roman" w:eastAsia="Times New Roman" w:hAnsi="Times New Roman" w:cs="Times New Roman"/>
          <w:b/>
          <w:bCs/>
          <w:i/>
          <w:iCs/>
          <w:sz w:val="24"/>
          <w:szCs w:val="24"/>
          <w:lang w:eastAsia="fr-FR"/>
        </w:rPr>
        <w:t>and interregional cooperation programmes.</w:t>
      </w:r>
    </w:p>
    <w:p w14:paraId="4F4E1ED5" w14:textId="2557A680" w:rsidR="005739B7" w:rsidRDefault="005739B7" w:rsidP="005739B7">
      <w:pPr>
        <w:spacing w:after="120" w:line="240" w:lineRule="auto"/>
        <w:ind w:left="426"/>
        <w:jc w:val="both"/>
        <w:rPr>
          <w:rFonts w:ascii="Times New Roman" w:hAnsi="Times New Roman" w:cs="Times New Roman"/>
          <w:sz w:val="24"/>
          <w:szCs w:val="24"/>
        </w:rPr>
      </w:pPr>
      <w:r w:rsidRPr="36BE81E9">
        <w:rPr>
          <w:rFonts w:ascii="Times New Roman" w:hAnsi="Times New Roman" w:cs="Times New Roman"/>
          <w:sz w:val="24"/>
          <w:szCs w:val="24"/>
        </w:rPr>
        <w:t xml:space="preserve">IPA III will financially support the participation of IPA III beneficiaries in ERDF transnational, and interregional cooperation programmes. The participation of IPA III beneficiaries in these programmes is decided by the participating Member States (i.e. Member States "invite" the IPA </w:t>
      </w:r>
      <w:r>
        <w:rPr>
          <w:rFonts w:ascii="Times New Roman" w:hAnsi="Times New Roman" w:cs="Times New Roman"/>
          <w:sz w:val="24"/>
          <w:szCs w:val="24"/>
        </w:rPr>
        <w:t xml:space="preserve">III </w:t>
      </w:r>
      <w:r w:rsidRPr="36BE81E9">
        <w:rPr>
          <w:rFonts w:ascii="Times New Roman" w:hAnsi="Times New Roman" w:cs="Times New Roman"/>
          <w:sz w:val="24"/>
          <w:szCs w:val="24"/>
        </w:rPr>
        <w:t xml:space="preserve">beneficiary </w:t>
      </w:r>
      <w:r>
        <w:rPr>
          <w:rFonts w:ascii="Times New Roman" w:hAnsi="Times New Roman" w:cs="Times New Roman"/>
          <w:sz w:val="24"/>
          <w:szCs w:val="24"/>
        </w:rPr>
        <w:t xml:space="preserve">and/or the </w:t>
      </w:r>
      <w:r w:rsidRPr="002F6C01">
        <w:rPr>
          <w:rFonts w:ascii="Times New Roman" w:hAnsi="Times New Roman" w:cs="Times New Roman"/>
          <w:sz w:val="24"/>
          <w:szCs w:val="24"/>
        </w:rPr>
        <w:t xml:space="preserve">Partner </w:t>
      </w:r>
      <w:r w:rsidR="00EE7B2F">
        <w:rPr>
          <w:rFonts w:ascii="Times New Roman" w:hAnsi="Times New Roman" w:cs="Times New Roman"/>
          <w:sz w:val="24"/>
          <w:szCs w:val="24"/>
        </w:rPr>
        <w:t>c</w:t>
      </w:r>
      <w:r w:rsidRPr="002F6C01">
        <w:rPr>
          <w:rFonts w:ascii="Times New Roman" w:hAnsi="Times New Roman" w:cs="Times New Roman"/>
          <w:sz w:val="24"/>
          <w:szCs w:val="24"/>
        </w:rPr>
        <w:t>ountries covered by the Neighbourhood, Development and International Cooperation</w:t>
      </w:r>
      <w:r w:rsidR="00EE314A">
        <w:rPr>
          <w:rFonts w:ascii="Times New Roman" w:hAnsi="Times New Roman" w:cs="Times New Roman"/>
          <w:sz w:val="24"/>
          <w:szCs w:val="24"/>
        </w:rPr>
        <w:t xml:space="preserve"> – Global Europe</w:t>
      </w:r>
      <w:r w:rsidRPr="002F6C01">
        <w:rPr>
          <w:rFonts w:ascii="Times New Roman" w:hAnsi="Times New Roman" w:cs="Times New Roman"/>
          <w:sz w:val="24"/>
          <w:szCs w:val="24"/>
        </w:rPr>
        <w:t xml:space="preserve"> (NDICI</w:t>
      </w:r>
      <w:r w:rsidR="00EE314A">
        <w:rPr>
          <w:rFonts w:ascii="Times New Roman" w:hAnsi="Times New Roman" w:cs="Times New Roman"/>
          <w:sz w:val="24"/>
          <w:szCs w:val="24"/>
        </w:rPr>
        <w:t>-GE</w:t>
      </w:r>
      <w:r w:rsidRPr="002F6C01">
        <w:rPr>
          <w:rFonts w:ascii="Times New Roman" w:hAnsi="Times New Roman" w:cs="Times New Roman"/>
          <w:sz w:val="24"/>
          <w:szCs w:val="24"/>
        </w:rPr>
        <w:t>) regulation</w:t>
      </w:r>
      <w:r w:rsidRPr="36BE81E9">
        <w:rPr>
          <w:rFonts w:ascii="Times New Roman" w:hAnsi="Times New Roman" w:cs="Times New Roman"/>
          <w:sz w:val="24"/>
          <w:szCs w:val="24"/>
        </w:rPr>
        <w:t xml:space="preserve"> to participate). IPA III funds are pooled together with European Regional Development Funds (ERDF)</w:t>
      </w:r>
      <w:r>
        <w:rPr>
          <w:rFonts w:ascii="Times New Roman" w:hAnsi="Times New Roman" w:cs="Times New Roman"/>
          <w:sz w:val="24"/>
          <w:szCs w:val="24"/>
        </w:rPr>
        <w:t xml:space="preserve"> and where relevant NDICI</w:t>
      </w:r>
      <w:r w:rsidR="00EE314A">
        <w:rPr>
          <w:rFonts w:ascii="Times New Roman" w:hAnsi="Times New Roman" w:cs="Times New Roman"/>
          <w:sz w:val="24"/>
          <w:szCs w:val="24"/>
        </w:rPr>
        <w:t>-GE</w:t>
      </w:r>
      <w:r>
        <w:rPr>
          <w:rFonts w:ascii="Times New Roman" w:hAnsi="Times New Roman" w:cs="Times New Roman"/>
          <w:sz w:val="24"/>
          <w:szCs w:val="24"/>
        </w:rPr>
        <w:t xml:space="preserve"> Funds</w:t>
      </w:r>
      <w:r w:rsidRPr="36BE81E9">
        <w:rPr>
          <w:rFonts w:ascii="Times New Roman" w:hAnsi="Times New Roman" w:cs="Times New Roman"/>
          <w:sz w:val="24"/>
          <w:szCs w:val="24"/>
        </w:rPr>
        <w:t>. These programmes are implemented in shared management under the rules for implementation defined in the ETC Regulation. The strategy documents covering these programmes will be developed as part of the ETC programming.</w:t>
      </w:r>
    </w:p>
    <w:p w14:paraId="0301A8AD" w14:textId="694B73A1" w:rsidR="005739B7" w:rsidRDefault="004A1A07" w:rsidP="005739B7">
      <w:pPr>
        <w:spacing w:after="120" w:line="240" w:lineRule="auto"/>
        <w:jc w:val="both"/>
        <w:rPr>
          <w:rFonts w:ascii="Times New Roman" w:hAnsi="Times New Roman" w:cs="Times New Roman"/>
          <w:sz w:val="24"/>
          <w:szCs w:val="24"/>
        </w:rPr>
      </w:pPr>
      <w:r w:rsidRPr="004A1A07">
        <w:rPr>
          <w:rFonts w:ascii="Times New Roman" w:hAnsi="Times New Roman" w:cs="Times New Roman"/>
          <w:sz w:val="24"/>
          <w:szCs w:val="24"/>
        </w:rPr>
        <w:t>Advancing regional, macro regional and cross-border cooperation as well as territorial development, including through the implementation of Union macro-regional strategies</w:t>
      </w:r>
      <w:r>
        <w:rPr>
          <w:rFonts w:ascii="Times New Roman" w:hAnsi="Times New Roman" w:cs="Times New Roman"/>
          <w:sz w:val="24"/>
          <w:szCs w:val="24"/>
        </w:rPr>
        <w:t>, is important</w:t>
      </w:r>
      <w:r w:rsidRPr="004A1A07">
        <w:rPr>
          <w:rFonts w:ascii="Times New Roman" w:hAnsi="Times New Roman" w:cs="Times New Roman"/>
          <w:sz w:val="24"/>
          <w:szCs w:val="24"/>
        </w:rPr>
        <w:t>.</w:t>
      </w:r>
      <w:r>
        <w:rPr>
          <w:rFonts w:ascii="Times New Roman" w:hAnsi="Times New Roman" w:cs="Times New Roman"/>
          <w:sz w:val="24"/>
          <w:szCs w:val="24"/>
        </w:rPr>
        <w:t xml:space="preserve"> Therefore, a</w:t>
      </w:r>
      <w:r w:rsidR="005739B7" w:rsidRPr="36BE81E9">
        <w:rPr>
          <w:rFonts w:ascii="Times New Roman" w:hAnsi="Times New Roman" w:cs="Times New Roman"/>
          <w:sz w:val="24"/>
          <w:szCs w:val="24"/>
        </w:rPr>
        <w:t>dditionally IPA III beneficiaries</w:t>
      </w:r>
      <w:r w:rsidR="005739B7">
        <w:rPr>
          <w:rFonts w:ascii="Times New Roman" w:hAnsi="Times New Roman" w:cs="Times New Roman"/>
          <w:sz w:val="24"/>
          <w:szCs w:val="24"/>
        </w:rPr>
        <w:t xml:space="preserve"> will make </w:t>
      </w:r>
      <w:r w:rsidR="005739B7" w:rsidRPr="00801B54">
        <w:rPr>
          <w:rFonts w:ascii="Times New Roman" w:hAnsi="Times New Roman" w:cs="Times New Roman"/>
          <w:sz w:val="24"/>
          <w:szCs w:val="24"/>
        </w:rPr>
        <w:t xml:space="preserve">strong references to the </w:t>
      </w:r>
      <w:r w:rsidR="005739B7" w:rsidRPr="00804EFD">
        <w:rPr>
          <w:rFonts w:ascii="Times New Roman" w:hAnsi="Times New Roman" w:cs="Times New Roman"/>
          <w:b/>
          <w:sz w:val="24"/>
          <w:szCs w:val="24"/>
        </w:rPr>
        <w:t>EU Strategy for the Adriatic-Ionian Region (EUSAIR) and the EU Strategy for the Danube Region (EUSDR)</w:t>
      </w:r>
      <w:r w:rsidR="005739B7" w:rsidRPr="00801B54">
        <w:rPr>
          <w:rFonts w:ascii="Times New Roman" w:hAnsi="Times New Roman" w:cs="Times New Roman"/>
          <w:sz w:val="24"/>
          <w:szCs w:val="24"/>
        </w:rPr>
        <w:t xml:space="preserve"> embedding process</w:t>
      </w:r>
      <w:r w:rsidR="005739B7">
        <w:rPr>
          <w:rFonts w:ascii="Times New Roman" w:hAnsi="Times New Roman" w:cs="Times New Roman"/>
          <w:sz w:val="24"/>
          <w:szCs w:val="24"/>
        </w:rPr>
        <w:t>es</w:t>
      </w:r>
      <w:r w:rsidR="005739B7" w:rsidRPr="00801B54">
        <w:rPr>
          <w:rFonts w:ascii="Times New Roman" w:hAnsi="Times New Roman" w:cs="Times New Roman"/>
          <w:sz w:val="24"/>
          <w:szCs w:val="24"/>
        </w:rPr>
        <w:t xml:space="preserve"> and their flagship projects</w:t>
      </w:r>
      <w:r w:rsidR="005739B7">
        <w:rPr>
          <w:rFonts w:ascii="Times New Roman" w:hAnsi="Times New Roman" w:cs="Times New Roman"/>
          <w:sz w:val="24"/>
          <w:szCs w:val="24"/>
        </w:rPr>
        <w:t xml:space="preserve"> </w:t>
      </w:r>
      <w:r w:rsidR="005739B7" w:rsidRPr="00801B54">
        <w:rPr>
          <w:rFonts w:ascii="Times New Roman" w:hAnsi="Times New Roman" w:cs="Times New Roman"/>
          <w:sz w:val="24"/>
          <w:szCs w:val="24"/>
        </w:rPr>
        <w:t>in their strategic response</w:t>
      </w:r>
      <w:r w:rsidR="005739B7">
        <w:rPr>
          <w:rFonts w:ascii="Times New Roman" w:hAnsi="Times New Roman" w:cs="Times New Roman"/>
          <w:sz w:val="24"/>
          <w:szCs w:val="24"/>
        </w:rPr>
        <w:t>s</w:t>
      </w:r>
      <w:r w:rsidR="005739B7" w:rsidRPr="00801B54">
        <w:rPr>
          <w:rFonts w:ascii="Times New Roman" w:hAnsi="Times New Roman" w:cs="Times New Roman"/>
          <w:sz w:val="24"/>
          <w:szCs w:val="24"/>
        </w:rPr>
        <w:t xml:space="preserve"> for the qualified projects</w:t>
      </w:r>
      <w:r w:rsidR="005739B7">
        <w:rPr>
          <w:rFonts w:ascii="Times New Roman" w:hAnsi="Times New Roman" w:cs="Times New Roman"/>
          <w:sz w:val="24"/>
          <w:szCs w:val="24"/>
        </w:rPr>
        <w:t>.</w:t>
      </w:r>
      <w:r w:rsidR="005739B7" w:rsidRPr="36BE81E9">
        <w:rPr>
          <w:rFonts w:ascii="Times New Roman" w:hAnsi="Times New Roman" w:cs="Times New Roman"/>
          <w:sz w:val="24"/>
          <w:szCs w:val="24"/>
        </w:rPr>
        <w:t xml:space="preserve"> A </w:t>
      </w:r>
      <w:r w:rsidR="005739B7" w:rsidRPr="00804EFD">
        <w:rPr>
          <w:rFonts w:ascii="Times New Roman" w:hAnsi="Times New Roman" w:cs="Times New Roman"/>
          <w:b/>
          <w:sz w:val="24"/>
          <w:szCs w:val="24"/>
        </w:rPr>
        <w:t>'Macroregional strategy'</w:t>
      </w:r>
      <w:r w:rsidR="005739B7" w:rsidRPr="36BE81E9">
        <w:rPr>
          <w:rFonts w:ascii="Times New Roman" w:hAnsi="Times New Roman" w:cs="Times New Roman"/>
          <w:sz w:val="24"/>
          <w:szCs w:val="24"/>
        </w:rPr>
        <w:t xml:space="preserve"> is an integrated framework endorsed by the European Council, which may be supported by the European Structural and Investment Funds among others, to address common challenges faced by Member States and third countries located in the same geographical area which thereby benefit from strengthened cooperation contributing to achievement of economic, social and territorial cohesion. Macro-Regional Strategies set a new model of governance based on effective cooperation and coordination of policies and actions over the national borders.</w:t>
      </w:r>
    </w:p>
    <w:p w14:paraId="71B09969" w14:textId="33BA2713" w:rsidR="005739B7" w:rsidRDefault="005739B7" w:rsidP="005739B7">
      <w:pPr>
        <w:spacing w:after="120" w:line="240" w:lineRule="auto"/>
        <w:jc w:val="both"/>
        <w:rPr>
          <w:rFonts w:ascii="Times New Roman" w:eastAsia="Times New Roman" w:hAnsi="Times New Roman"/>
          <w:sz w:val="24"/>
          <w:szCs w:val="24"/>
        </w:rPr>
      </w:pPr>
      <w:r w:rsidRPr="00A025A4">
        <w:rPr>
          <w:rFonts w:ascii="Times New Roman" w:eastAsia="Times New Roman" w:hAnsi="Times New Roman"/>
          <w:sz w:val="24"/>
          <w:szCs w:val="24"/>
        </w:rPr>
        <w:t>Macro-regional strategies are supported by the highest political levels of the EU, the Member States and the regions concerned and have become an integral part of EU regional policy.</w:t>
      </w:r>
      <w:r w:rsidRPr="00A025A4">
        <w:t xml:space="preserve"> </w:t>
      </w:r>
      <w:r>
        <w:rPr>
          <w:rFonts w:ascii="Times New Roman" w:eastAsia="Times New Roman" w:hAnsi="Times New Roman"/>
          <w:sz w:val="24"/>
          <w:szCs w:val="24"/>
        </w:rPr>
        <w:t>IPA III beneficiaries must be</w:t>
      </w:r>
      <w:r w:rsidRPr="00A025A4">
        <w:rPr>
          <w:rFonts w:ascii="Times New Roman" w:eastAsia="Times New Roman" w:hAnsi="Times New Roman"/>
          <w:sz w:val="24"/>
          <w:szCs w:val="24"/>
        </w:rPr>
        <w:t xml:space="preserve"> aware of </w:t>
      </w:r>
      <w:r>
        <w:rPr>
          <w:rFonts w:ascii="Times New Roman" w:eastAsia="Times New Roman" w:hAnsi="Times New Roman"/>
          <w:sz w:val="24"/>
          <w:szCs w:val="24"/>
        </w:rPr>
        <w:t>their</w:t>
      </w:r>
      <w:r w:rsidRPr="00A025A4">
        <w:rPr>
          <w:rFonts w:ascii="Times New Roman" w:eastAsia="Times New Roman" w:hAnsi="Times New Roman"/>
          <w:sz w:val="24"/>
          <w:szCs w:val="24"/>
        </w:rPr>
        <w:t xml:space="preserve"> priorities and alignment to one of them </w:t>
      </w:r>
      <w:r>
        <w:rPr>
          <w:rFonts w:ascii="Times New Roman" w:eastAsia="Times New Roman" w:hAnsi="Times New Roman"/>
          <w:sz w:val="24"/>
          <w:szCs w:val="24"/>
        </w:rPr>
        <w:t>will be</w:t>
      </w:r>
      <w:r w:rsidRPr="00A025A4">
        <w:rPr>
          <w:rFonts w:ascii="Times New Roman" w:eastAsia="Times New Roman" w:hAnsi="Times New Roman"/>
          <w:sz w:val="24"/>
          <w:szCs w:val="24"/>
        </w:rPr>
        <w:t xml:space="preserve"> one the criteria for assessing an action for </w:t>
      </w:r>
      <w:r>
        <w:rPr>
          <w:rFonts w:ascii="Times New Roman" w:eastAsia="Times New Roman" w:hAnsi="Times New Roman"/>
          <w:sz w:val="24"/>
          <w:szCs w:val="24"/>
        </w:rPr>
        <w:t>its further</w:t>
      </w:r>
      <w:r w:rsidRPr="005A70FF">
        <w:rPr>
          <w:rFonts w:ascii="Times New Roman" w:eastAsia="Times New Roman" w:hAnsi="Times New Roman"/>
          <w:sz w:val="24"/>
          <w:szCs w:val="24"/>
        </w:rPr>
        <w:t xml:space="preserve"> selection for IPA III</w:t>
      </w:r>
      <w:r w:rsidRPr="00A025A4">
        <w:rPr>
          <w:rFonts w:ascii="Times New Roman" w:eastAsia="Times New Roman" w:hAnsi="Times New Roman"/>
          <w:sz w:val="24"/>
          <w:szCs w:val="24"/>
        </w:rPr>
        <w:t>.</w:t>
      </w:r>
    </w:p>
    <w:p w14:paraId="1EFA4391" w14:textId="0779C11F" w:rsidR="005739B7" w:rsidRDefault="005739B7" w:rsidP="005739B7">
      <w:pPr>
        <w:spacing w:after="120" w:line="240" w:lineRule="auto"/>
        <w:jc w:val="both"/>
        <w:rPr>
          <w:rFonts w:ascii="Times New Roman" w:hAnsi="Times New Roman" w:cs="Times New Roman"/>
          <w:sz w:val="24"/>
          <w:szCs w:val="24"/>
        </w:rPr>
      </w:pPr>
      <w:r w:rsidRPr="00D0724A">
        <w:rPr>
          <w:rFonts w:ascii="Times New Roman" w:hAnsi="Times New Roman" w:cs="Times New Roman"/>
          <w:sz w:val="24"/>
          <w:szCs w:val="24"/>
        </w:rPr>
        <w:t xml:space="preserve">In this context, </w:t>
      </w:r>
      <w:r>
        <w:rPr>
          <w:rFonts w:ascii="Times New Roman" w:hAnsi="Times New Roman" w:cs="Times New Roman"/>
          <w:sz w:val="24"/>
          <w:szCs w:val="24"/>
        </w:rPr>
        <w:t>the proposal</w:t>
      </w:r>
      <w:r w:rsidRPr="00D0724A">
        <w:rPr>
          <w:rFonts w:ascii="Times New Roman" w:hAnsi="Times New Roman" w:cs="Times New Roman"/>
          <w:sz w:val="24"/>
          <w:szCs w:val="24"/>
        </w:rPr>
        <w:t xml:space="preserve"> is calling for a stronger integrated and coordinated approach at European, national and regional levels. A strong coordination mechanism should be built in order to enhance the integrated use of all relevant EU funds. Overall, many more synergies programmes could be pursued on the levels of programming, implementation and projects in the IPA </w:t>
      </w:r>
      <w:r>
        <w:rPr>
          <w:rFonts w:ascii="Times New Roman" w:hAnsi="Times New Roman" w:cs="Times New Roman"/>
          <w:sz w:val="24"/>
          <w:szCs w:val="24"/>
        </w:rPr>
        <w:t>III beneficiaries</w:t>
      </w:r>
      <w:r w:rsidRPr="00D0724A">
        <w:rPr>
          <w:rFonts w:ascii="Times New Roman" w:hAnsi="Times New Roman" w:cs="Times New Roman"/>
          <w:sz w:val="24"/>
          <w:szCs w:val="24"/>
        </w:rPr>
        <w:t>.</w:t>
      </w:r>
      <w:r w:rsidR="00122EFB" w:rsidRPr="00122EFB">
        <w:t xml:space="preserve"> </w:t>
      </w:r>
      <w:r w:rsidR="00122EFB" w:rsidRPr="00122EFB">
        <w:rPr>
          <w:rFonts w:ascii="Times New Roman" w:eastAsia="Times New Roman" w:hAnsi="Times New Roman"/>
          <w:sz w:val="24"/>
          <w:szCs w:val="24"/>
        </w:rPr>
        <w:t xml:space="preserve">Intensifying cooperation between citizens and institutions </w:t>
      </w:r>
      <w:r w:rsidR="00122EFB">
        <w:rPr>
          <w:rFonts w:ascii="Times New Roman" w:eastAsia="Times New Roman" w:hAnsi="Times New Roman"/>
          <w:sz w:val="24"/>
          <w:szCs w:val="24"/>
        </w:rPr>
        <w:t>alongside</w:t>
      </w:r>
      <w:r w:rsidR="00122EFB" w:rsidRPr="00122EFB">
        <w:rPr>
          <w:rFonts w:ascii="Times New Roman" w:eastAsia="Times New Roman" w:hAnsi="Times New Roman"/>
          <w:sz w:val="24"/>
          <w:szCs w:val="24"/>
        </w:rPr>
        <w:t xml:space="preserve"> the development and coordination of macro-regional and sea-basin strategies, </w:t>
      </w:r>
      <w:r w:rsidR="00122EFB">
        <w:rPr>
          <w:rFonts w:ascii="Times New Roman" w:eastAsia="Times New Roman" w:hAnsi="Times New Roman"/>
          <w:sz w:val="24"/>
          <w:szCs w:val="24"/>
        </w:rPr>
        <w:t xml:space="preserve">contribute to the </w:t>
      </w:r>
      <w:r w:rsidR="00122EFB" w:rsidRPr="00122EFB">
        <w:rPr>
          <w:rFonts w:ascii="Times New Roman" w:eastAsia="Times New Roman" w:hAnsi="Times New Roman"/>
          <w:sz w:val="24"/>
          <w:szCs w:val="24"/>
        </w:rPr>
        <w:t xml:space="preserve">building </w:t>
      </w:r>
      <w:r w:rsidR="00122EFB">
        <w:rPr>
          <w:rFonts w:ascii="Times New Roman" w:eastAsia="Times New Roman" w:hAnsi="Times New Roman"/>
          <w:sz w:val="24"/>
          <w:szCs w:val="24"/>
        </w:rPr>
        <w:t>of</w:t>
      </w:r>
      <w:r w:rsidR="00122EFB" w:rsidRPr="00122EFB">
        <w:rPr>
          <w:rFonts w:ascii="Times New Roman" w:eastAsia="Times New Roman" w:hAnsi="Times New Roman"/>
          <w:sz w:val="24"/>
          <w:szCs w:val="24"/>
        </w:rPr>
        <w:t xml:space="preserve"> mutual trust, in particular </w:t>
      </w:r>
      <w:r w:rsidR="00122EFB">
        <w:rPr>
          <w:rFonts w:ascii="Times New Roman" w:eastAsia="Times New Roman" w:hAnsi="Times New Roman"/>
          <w:sz w:val="24"/>
          <w:szCs w:val="24"/>
        </w:rPr>
        <w:t>when</w:t>
      </w:r>
      <w:r w:rsidR="00122EFB" w:rsidRPr="00122EFB">
        <w:rPr>
          <w:rFonts w:ascii="Times New Roman" w:eastAsia="Times New Roman" w:hAnsi="Times New Roman"/>
          <w:sz w:val="24"/>
          <w:szCs w:val="24"/>
        </w:rPr>
        <w:t xml:space="preserve"> people-to-people actions </w:t>
      </w:r>
      <w:r w:rsidR="00122EFB">
        <w:rPr>
          <w:rFonts w:ascii="Times New Roman" w:eastAsia="Times New Roman" w:hAnsi="Times New Roman"/>
          <w:sz w:val="24"/>
          <w:szCs w:val="24"/>
        </w:rPr>
        <w:t>are encouraged.</w:t>
      </w:r>
    </w:p>
    <w:p w14:paraId="01FEC3CF" w14:textId="77777777" w:rsidR="005739B7" w:rsidRPr="005742F9" w:rsidRDefault="005739B7" w:rsidP="005739B7">
      <w:pPr>
        <w:spacing w:before="120" w:after="120" w:line="240" w:lineRule="auto"/>
        <w:jc w:val="both"/>
        <w:rPr>
          <w:rFonts w:ascii="Times New Roman" w:hAnsi="Times New Roman" w:cs="Times New Roman"/>
          <w:b/>
          <w:bCs/>
          <w:sz w:val="24"/>
          <w:szCs w:val="24"/>
        </w:rPr>
      </w:pPr>
    </w:p>
    <w:p w14:paraId="25AA7D2B" w14:textId="77777777" w:rsidR="005739B7" w:rsidRPr="005742F9" w:rsidRDefault="005739B7" w:rsidP="005739B7">
      <w:pPr>
        <w:spacing w:before="120" w:after="120" w:line="240" w:lineRule="auto"/>
        <w:jc w:val="both"/>
        <w:rPr>
          <w:rFonts w:ascii="Times New Roman" w:hAnsi="Times New Roman" w:cs="Times New Roman"/>
          <w:b/>
          <w:bCs/>
          <w:sz w:val="24"/>
          <w:szCs w:val="24"/>
        </w:rPr>
      </w:pPr>
      <w:r w:rsidRPr="36BE81E9">
        <w:rPr>
          <w:rFonts w:ascii="Times New Roman" w:hAnsi="Times New Roman" w:cs="Times New Roman"/>
          <w:b/>
          <w:bCs/>
          <w:sz w:val="24"/>
          <w:szCs w:val="24"/>
        </w:rPr>
        <w:t xml:space="preserve">2. Strategic Objectives of Cross-Border Cooperation between IPA III beneficiaries </w:t>
      </w:r>
    </w:p>
    <w:p w14:paraId="1890B178" w14:textId="78340D9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There is a particular need to foster sustainable local development and increasing the prosperity of people and communities in remote</w:t>
      </w:r>
      <w:r>
        <w:rPr>
          <w:rFonts w:ascii="Times New Roman" w:hAnsi="Times New Roman" w:cs="Times New Roman"/>
          <w:sz w:val="24"/>
          <w:szCs w:val="24"/>
        </w:rPr>
        <w:t xml:space="preserve"> coastal</w:t>
      </w:r>
      <w:r w:rsidRPr="36BE81E9">
        <w:rPr>
          <w:rFonts w:ascii="Times New Roman" w:hAnsi="Times New Roman" w:cs="Times New Roman"/>
          <w:sz w:val="24"/>
          <w:szCs w:val="24"/>
        </w:rPr>
        <w:t xml:space="preserve"> and rural border areas, which are often lagging behind economically. Over the years, border regions have turned into marginalised peripheries, where access to markets is limited, knowledge and technology transfer from the core difficult, and demographic indicators deteriorating. However, in many of those areas</w:t>
      </w:r>
      <w:r w:rsidR="00122EFB">
        <w:rPr>
          <w:rFonts w:ascii="Times New Roman" w:hAnsi="Times New Roman" w:cs="Times New Roman"/>
          <w:sz w:val="24"/>
          <w:szCs w:val="24"/>
        </w:rPr>
        <w:t>,</w:t>
      </w:r>
      <w:r w:rsidRPr="36BE81E9">
        <w:rPr>
          <w:rFonts w:ascii="Times New Roman" w:hAnsi="Times New Roman" w:cs="Times New Roman"/>
          <w:sz w:val="24"/>
          <w:szCs w:val="24"/>
        </w:rPr>
        <w:t xml:space="preserve"> a considerable potential exists, which, if unleashed, would reverse the trend and lead to an increase in prosperity and trust building between communities. </w:t>
      </w:r>
      <w:r w:rsidR="00122EFB">
        <w:rPr>
          <w:rFonts w:ascii="Times New Roman" w:hAnsi="Times New Roman" w:cs="Times New Roman"/>
          <w:sz w:val="24"/>
          <w:szCs w:val="24"/>
        </w:rPr>
        <w:t xml:space="preserve">Tackling common challenges identified jointly in the border regions is important, </w:t>
      </w:r>
      <w:r w:rsidRPr="36BE81E9">
        <w:rPr>
          <w:rFonts w:ascii="Times New Roman" w:hAnsi="Times New Roman" w:cs="Times New Roman"/>
          <w:sz w:val="24"/>
          <w:szCs w:val="24"/>
        </w:rPr>
        <w:t>Sustainable development of targeted border areas would foster employment and contribute to furthering regional cooperation and good neighbourly relations.</w:t>
      </w:r>
      <w:r w:rsidR="00122EFB">
        <w:rPr>
          <w:rFonts w:ascii="Times New Roman" w:hAnsi="Times New Roman" w:cs="Times New Roman"/>
          <w:sz w:val="24"/>
          <w:szCs w:val="24"/>
        </w:rPr>
        <w:t xml:space="preserve"> </w:t>
      </w:r>
    </w:p>
    <w:p w14:paraId="01F500B8" w14:textId="27182805" w:rsidR="005739B7" w:rsidRPr="005742F9" w:rsidRDefault="005739B7" w:rsidP="005739B7">
      <w:pPr>
        <w:spacing w:after="120" w:line="240" w:lineRule="auto"/>
        <w:jc w:val="both"/>
        <w:rPr>
          <w:rFonts w:ascii="Times New Roman" w:eastAsia="Times New Roman" w:hAnsi="Times New Roman" w:cs="Times New Roman"/>
          <w:sz w:val="24"/>
          <w:szCs w:val="24"/>
          <w:lang w:eastAsia="fr-FR"/>
        </w:rPr>
      </w:pPr>
      <w:r w:rsidRPr="36BE81E9">
        <w:rPr>
          <w:rFonts w:ascii="Times New Roman" w:eastAsia="Times New Roman" w:hAnsi="Times New Roman" w:cs="Times New Roman"/>
          <w:sz w:val="24"/>
          <w:szCs w:val="24"/>
          <w:lang w:eastAsia="fr-FR"/>
        </w:rPr>
        <w:t>Cross-border cooperation between IPA III beneficiaries also constitutes an important part of the reconciliation process in the Western Balkans. Due to the wars</w:t>
      </w:r>
      <w:r w:rsidR="00A824E6">
        <w:rPr>
          <w:rFonts w:ascii="Times New Roman" w:eastAsia="Times New Roman" w:hAnsi="Times New Roman" w:cs="Times New Roman"/>
          <w:sz w:val="24"/>
          <w:szCs w:val="24"/>
          <w:lang w:eastAsia="fr-FR"/>
        </w:rPr>
        <w:t xml:space="preserve"> stemming from the break-up of former Yugoslavia</w:t>
      </w:r>
      <w:r w:rsidRPr="36BE81E9">
        <w:rPr>
          <w:rFonts w:ascii="Times New Roman" w:eastAsia="Times New Roman" w:hAnsi="Times New Roman" w:cs="Times New Roman"/>
          <w:sz w:val="24"/>
          <w:szCs w:val="24"/>
          <w:lang w:eastAsia="fr-FR"/>
        </w:rPr>
        <w:t xml:space="preserve"> in the 1990s, the strengthening of good neighbourly relations in border areas was a prerequisite for growth and prosperity for the regions as well as for the beneficiaries involved. CBC programmes concentrate on overcoming the legacy of past conflicts and building reconciliation by creating direct contacts between entities and administrations at all levels on both sides of the border. </w:t>
      </w:r>
      <w:r w:rsidR="00122EFB">
        <w:rPr>
          <w:rFonts w:ascii="Times New Roman" w:eastAsia="Times New Roman" w:hAnsi="Times New Roman" w:cs="Times New Roman"/>
          <w:sz w:val="24"/>
          <w:szCs w:val="24"/>
          <w:lang w:eastAsia="fr-FR"/>
        </w:rPr>
        <w:t>Reconciliation can be fostered in particular through actions that promote cohesion between communities.</w:t>
      </w:r>
    </w:p>
    <w:p w14:paraId="2F294832" w14:textId="77777777" w:rsidR="005739B7" w:rsidRPr="0039204D" w:rsidRDefault="005739B7" w:rsidP="00684047">
      <w:pPr>
        <w:keepNext/>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w:t>
      </w:r>
      <w:r w:rsidRPr="36BE81E9">
        <w:rPr>
          <w:rFonts w:ascii="Times New Roman" w:hAnsi="Times New Roman" w:cs="Times New Roman"/>
          <w:b/>
          <w:bCs/>
          <w:sz w:val="24"/>
          <w:szCs w:val="24"/>
        </w:rPr>
        <w:t>strategic objectives</w:t>
      </w:r>
      <w:r w:rsidRPr="36BE81E9">
        <w:rPr>
          <w:rFonts w:ascii="Times New Roman" w:hAnsi="Times New Roman" w:cs="Times New Roman"/>
          <w:sz w:val="24"/>
          <w:szCs w:val="24"/>
        </w:rPr>
        <w:t xml:space="preserve"> of the cross-border cooperation programmes between IPA III beneficiaries are:</w:t>
      </w:r>
    </w:p>
    <w:p w14:paraId="5DC3663B" w14:textId="77777777" w:rsidR="005739B7" w:rsidRPr="0039204D" w:rsidRDefault="005739B7" w:rsidP="005739B7">
      <w:pPr>
        <w:numPr>
          <w:ilvl w:val="0"/>
          <w:numId w:val="17"/>
        </w:numPr>
        <w:spacing w:after="120" w:line="240" w:lineRule="auto"/>
        <w:contextualSpacing/>
        <w:jc w:val="both"/>
        <w:rPr>
          <w:rFonts w:ascii="Times New Roman" w:hAnsi="Times New Roman" w:cs="Times New Roman"/>
          <w:sz w:val="24"/>
          <w:szCs w:val="24"/>
        </w:rPr>
      </w:pPr>
      <w:r w:rsidRPr="36BE81E9">
        <w:rPr>
          <w:rFonts w:ascii="Times New Roman" w:hAnsi="Times New Roman" w:cs="Times New Roman"/>
          <w:sz w:val="24"/>
          <w:szCs w:val="24"/>
        </w:rPr>
        <w:t>Promotion of reconciliation and confidence building and good neighbourly relations;</w:t>
      </w:r>
    </w:p>
    <w:p w14:paraId="2C35BB87" w14:textId="77777777" w:rsidR="005739B7" w:rsidRPr="0039204D" w:rsidRDefault="005739B7" w:rsidP="005739B7">
      <w:pPr>
        <w:numPr>
          <w:ilvl w:val="0"/>
          <w:numId w:val="17"/>
        </w:numPr>
        <w:spacing w:after="120" w:line="240" w:lineRule="auto"/>
        <w:contextualSpacing/>
        <w:jc w:val="both"/>
        <w:rPr>
          <w:rFonts w:ascii="Times New Roman" w:hAnsi="Times New Roman" w:cs="Times New Roman"/>
          <w:sz w:val="24"/>
          <w:szCs w:val="24"/>
        </w:rPr>
      </w:pPr>
      <w:r w:rsidRPr="36BE81E9">
        <w:rPr>
          <w:rFonts w:ascii="Times New Roman" w:hAnsi="Times New Roman" w:cs="Times New Roman"/>
          <w:sz w:val="24"/>
          <w:szCs w:val="24"/>
        </w:rPr>
        <w:t xml:space="preserve">Economic, social and territorial development of border areas, fostering the cooperation among national local/regional authorities, associations, non-governmental organisations and enterprises from neighbouring regions; </w:t>
      </w:r>
    </w:p>
    <w:p w14:paraId="2467F892" w14:textId="77777777" w:rsidR="005739B7" w:rsidRDefault="005739B7" w:rsidP="005739B7">
      <w:pPr>
        <w:numPr>
          <w:ilvl w:val="0"/>
          <w:numId w:val="17"/>
        </w:numPr>
        <w:spacing w:after="0" w:line="240" w:lineRule="auto"/>
        <w:ind w:left="714" w:hanging="357"/>
        <w:jc w:val="both"/>
        <w:rPr>
          <w:rFonts w:ascii="Times New Roman" w:hAnsi="Times New Roman" w:cs="Times New Roman"/>
          <w:sz w:val="24"/>
          <w:szCs w:val="24"/>
        </w:rPr>
      </w:pPr>
      <w:r w:rsidRPr="36BE81E9">
        <w:rPr>
          <w:rFonts w:ascii="Times New Roman" w:hAnsi="Times New Roman" w:cs="Times New Roman"/>
          <w:sz w:val="24"/>
          <w:szCs w:val="24"/>
        </w:rPr>
        <w:t>Building the capacities of local, regional and national institutions to manage EU programmes and to prepare them for the management of future Structural Funds under the territorial cooperation goal, which will be implemented upon accession.</w:t>
      </w:r>
    </w:p>
    <w:p w14:paraId="43B7BA4D" w14:textId="77777777" w:rsidR="005739B7" w:rsidRPr="00F7435B" w:rsidRDefault="005739B7" w:rsidP="005739B7">
      <w:pPr>
        <w:spacing w:before="120" w:after="120" w:line="240" w:lineRule="auto"/>
        <w:ind w:left="714"/>
        <w:jc w:val="both"/>
        <w:rPr>
          <w:rFonts w:ascii="Times New Roman" w:hAnsi="Times New Roman" w:cs="Times New Roman"/>
          <w:sz w:val="24"/>
          <w:szCs w:val="24"/>
        </w:rPr>
      </w:pPr>
    </w:p>
    <w:p w14:paraId="7A72FDD3" w14:textId="7FC8DD1E" w:rsidR="005739B7" w:rsidRPr="00F7435B" w:rsidRDefault="005739B7" w:rsidP="005739B7">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36BE81E9">
        <w:rPr>
          <w:rFonts w:ascii="Times New Roman" w:hAnsi="Times New Roman" w:cs="Times New Roman"/>
          <w:b/>
          <w:bCs/>
          <w:sz w:val="24"/>
          <w:szCs w:val="24"/>
        </w:rPr>
        <w:t xml:space="preserve">Strategic Objectives of Cooperation between </w:t>
      </w:r>
      <w:r>
        <w:rPr>
          <w:rFonts w:ascii="Times New Roman" w:hAnsi="Times New Roman" w:cs="Times New Roman"/>
          <w:b/>
          <w:bCs/>
          <w:sz w:val="24"/>
          <w:szCs w:val="24"/>
        </w:rPr>
        <w:t xml:space="preserve">Member States, </w:t>
      </w:r>
      <w:r w:rsidRPr="36BE81E9">
        <w:rPr>
          <w:rFonts w:ascii="Times New Roman" w:hAnsi="Times New Roman" w:cs="Times New Roman"/>
          <w:b/>
          <w:bCs/>
          <w:sz w:val="24"/>
          <w:szCs w:val="24"/>
        </w:rPr>
        <w:t xml:space="preserve">IPA III beneficiaries </w:t>
      </w:r>
      <w:r w:rsidRPr="00801B54">
        <w:rPr>
          <w:rFonts w:ascii="Times New Roman" w:hAnsi="Times New Roman" w:cs="Times New Roman"/>
          <w:b/>
          <w:bCs/>
          <w:sz w:val="24"/>
          <w:szCs w:val="24"/>
        </w:rPr>
        <w:t>and/or the Partner Countries covered by the Neighbourhood, Development and International Cooperation</w:t>
      </w:r>
      <w:r w:rsidR="00EE314A">
        <w:rPr>
          <w:rFonts w:ascii="Times New Roman" w:hAnsi="Times New Roman" w:cs="Times New Roman"/>
          <w:b/>
          <w:bCs/>
          <w:sz w:val="24"/>
          <w:szCs w:val="24"/>
        </w:rPr>
        <w:t xml:space="preserve"> – Global Europe</w:t>
      </w:r>
      <w:r w:rsidRPr="00801B54">
        <w:rPr>
          <w:rFonts w:ascii="Times New Roman" w:hAnsi="Times New Roman" w:cs="Times New Roman"/>
          <w:b/>
          <w:bCs/>
          <w:sz w:val="24"/>
          <w:szCs w:val="24"/>
        </w:rPr>
        <w:t xml:space="preserve"> (NDICI</w:t>
      </w:r>
      <w:r w:rsidR="00EE314A">
        <w:rPr>
          <w:rFonts w:ascii="Times New Roman" w:hAnsi="Times New Roman" w:cs="Times New Roman"/>
          <w:b/>
          <w:bCs/>
          <w:sz w:val="24"/>
          <w:szCs w:val="24"/>
        </w:rPr>
        <w:t>-GE</w:t>
      </w:r>
      <w:r w:rsidRPr="00801B54">
        <w:rPr>
          <w:rFonts w:ascii="Times New Roman" w:hAnsi="Times New Roman" w:cs="Times New Roman"/>
          <w:b/>
          <w:bCs/>
          <w:sz w:val="24"/>
          <w:szCs w:val="24"/>
        </w:rPr>
        <w:t>) regulation</w:t>
      </w:r>
    </w:p>
    <w:p w14:paraId="28809066" w14:textId="0497F55F" w:rsidR="005739B7" w:rsidRDefault="005739B7" w:rsidP="005739B7">
      <w:pPr>
        <w:spacing w:after="120" w:line="240" w:lineRule="auto"/>
        <w:jc w:val="both"/>
        <w:rPr>
          <w:rFonts w:ascii="Times New Roman" w:eastAsia="Times New Roman" w:hAnsi="Times New Roman" w:cs="Times New Roman"/>
          <w:sz w:val="24"/>
          <w:szCs w:val="24"/>
          <w:lang w:eastAsia="fr-FR"/>
        </w:rPr>
      </w:pPr>
      <w:r w:rsidRPr="006F7B7B">
        <w:rPr>
          <w:rFonts w:ascii="Times New Roman" w:eastAsia="Times New Roman" w:hAnsi="Times New Roman" w:cs="Times New Roman"/>
          <w:sz w:val="24"/>
          <w:szCs w:val="24"/>
          <w:lang w:eastAsia="fr-FR"/>
        </w:rPr>
        <w:t xml:space="preserve">The objective of </w:t>
      </w:r>
      <w:r>
        <w:rPr>
          <w:rFonts w:ascii="Times New Roman" w:eastAsia="Times New Roman" w:hAnsi="Times New Roman" w:cs="Times New Roman"/>
          <w:sz w:val="24"/>
          <w:szCs w:val="24"/>
          <w:lang w:eastAsia="fr-FR"/>
        </w:rPr>
        <w:t xml:space="preserve">such </w:t>
      </w:r>
      <w:r w:rsidRPr="006F7B7B">
        <w:rPr>
          <w:rFonts w:ascii="Times New Roman" w:eastAsia="Times New Roman" w:hAnsi="Times New Roman" w:cs="Times New Roman"/>
          <w:sz w:val="24"/>
          <w:szCs w:val="24"/>
          <w:lang w:eastAsia="fr-FR"/>
        </w:rPr>
        <w:t>action</w:t>
      </w:r>
      <w:r>
        <w:rPr>
          <w:rFonts w:ascii="Times New Roman" w:eastAsia="Times New Roman" w:hAnsi="Times New Roman" w:cs="Times New Roman"/>
          <w:sz w:val="24"/>
          <w:szCs w:val="24"/>
          <w:lang w:eastAsia="fr-FR"/>
        </w:rPr>
        <w:t>s</w:t>
      </w:r>
      <w:r w:rsidRPr="006F7B7B">
        <w:rPr>
          <w:rFonts w:ascii="Times New Roman" w:eastAsia="Times New Roman" w:hAnsi="Times New Roman" w:cs="Times New Roman"/>
          <w:sz w:val="24"/>
          <w:szCs w:val="24"/>
          <w:lang w:eastAsia="fr-FR"/>
        </w:rPr>
        <w:t xml:space="preserve"> at multilateral level and in third countries is to contribute to the strategic objectives and priorities of the Commission and EU external relations by strengthening its role through urban policy dialogues and cooperation with EU global and strategic part</w:t>
      </w:r>
      <w:r w:rsidR="005D01F2">
        <w:rPr>
          <w:rFonts w:ascii="Times New Roman" w:eastAsia="Times New Roman" w:hAnsi="Times New Roman" w:cs="Times New Roman"/>
          <w:sz w:val="24"/>
          <w:szCs w:val="24"/>
          <w:lang w:eastAsia="fr-FR"/>
        </w:rPr>
        <w:t>ners, IPA III beneficiaries</w:t>
      </w:r>
      <w:r w:rsidRPr="006F7B7B">
        <w:rPr>
          <w:rFonts w:ascii="Times New Roman" w:eastAsia="Times New Roman" w:hAnsi="Times New Roman" w:cs="Times New Roman"/>
          <w:sz w:val="24"/>
          <w:szCs w:val="24"/>
          <w:lang w:eastAsia="fr-FR"/>
        </w:rPr>
        <w:t xml:space="preserve"> and </w:t>
      </w:r>
      <w:r w:rsidRPr="00801B54">
        <w:rPr>
          <w:rFonts w:ascii="Times New Roman" w:eastAsia="Times New Roman" w:hAnsi="Times New Roman" w:cs="Times New Roman"/>
          <w:sz w:val="24"/>
          <w:szCs w:val="24"/>
          <w:lang w:eastAsia="fr-FR"/>
        </w:rPr>
        <w:t>neighbouring countries while supporting EU regions and cities.</w:t>
      </w:r>
    </w:p>
    <w:p w14:paraId="67305F8F" w14:textId="77777777" w:rsidR="005739B7" w:rsidRDefault="005739B7" w:rsidP="005739B7">
      <w:pPr>
        <w:spacing w:after="120" w:line="240" w:lineRule="auto"/>
        <w:jc w:val="both"/>
        <w:rPr>
          <w:rFonts w:ascii="Times New Roman" w:eastAsia="Times New Roman" w:hAnsi="Times New Roman" w:cs="Times New Roman"/>
          <w:sz w:val="24"/>
          <w:szCs w:val="24"/>
          <w:lang w:eastAsia="fr-FR"/>
        </w:rPr>
      </w:pPr>
      <w:r w:rsidRPr="0077171A">
        <w:rPr>
          <w:rFonts w:ascii="Times New Roman" w:eastAsia="Times New Roman" w:hAnsi="Times New Roman" w:cs="Times New Roman"/>
          <w:sz w:val="24"/>
          <w:szCs w:val="24"/>
          <w:lang w:eastAsia="fr-FR"/>
        </w:rPr>
        <w:t xml:space="preserve">More specifically, </w:t>
      </w:r>
      <w:r>
        <w:rPr>
          <w:rFonts w:ascii="Times New Roman" w:eastAsia="Times New Roman" w:hAnsi="Times New Roman" w:cs="Times New Roman"/>
          <w:sz w:val="24"/>
          <w:szCs w:val="24"/>
          <w:lang w:eastAsia="fr-FR"/>
        </w:rPr>
        <w:t xml:space="preserve">these </w:t>
      </w:r>
      <w:r w:rsidRPr="0077171A">
        <w:rPr>
          <w:rFonts w:ascii="Times New Roman" w:eastAsia="Times New Roman" w:hAnsi="Times New Roman" w:cs="Times New Roman"/>
          <w:sz w:val="24"/>
          <w:szCs w:val="24"/>
          <w:lang w:eastAsia="fr-FR"/>
        </w:rPr>
        <w:t>activities and cooperation programmes aim to:</w:t>
      </w:r>
    </w:p>
    <w:p w14:paraId="45CEEE3B" w14:textId="2430C0A2" w:rsidR="005739B7" w:rsidRPr="006F7B7B" w:rsidRDefault="005739B7" w:rsidP="005739B7">
      <w:pPr>
        <w:numPr>
          <w:ilvl w:val="0"/>
          <w:numId w:val="17"/>
        </w:numPr>
        <w:spacing w:after="120" w:line="240" w:lineRule="auto"/>
        <w:contextualSpacing/>
        <w:jc w:val="both"/>
        <w:rPr>
          <w:rFonts w:ascii="Times New Roman" w:hAnsi="Times New Roman" w:cs="Times New Roman"/>
          <w:sz w:val="24"/>
          <w:szCs w:val="24"/>
        </w:rPr>
      </w:pPr>
      <w:r w:rsidRPr="006F7B7B">
        <w:rPr>
          <w:rFonts w:ascii="Times New Roman" w:hAnsi="Times New Roman" w:cs="Times New Roman"/>
          <w:sz w:val="24"/>
          <w:szCs w:val="24"/>
        </w:rPr>
        <w:t xml:space="preserve">Reinforce relations with the enlargement (IPA) and neighbouring countries, and regional organisations by ensuring their active involvement in mainstream and territorial cooperation programmes, and macro-regional strategies and by enhancing people-to-people and grass root apolitical cooperation with </w:t>
      </w:r>
      <w:r>
        <w:rPr>
          <w:rFonts w:ascii="Times New Roman" w:hAnsi="Times New Roman" w:cs="Times New Roman"/>
          <w:sz w:val="24"/>
          <w:szCs w:val="24"/>
        </w:rPr>
        <w:t>IPA III beneficiaries and NDICI</w:t>
      </w:r>
      <w:r w:rsidR="00EE314A">
        <w:rPr>
          <w:rFonts w:ascii="Times New Roman" w:hAnsi="Times New Roman" w:cs="Times New Roman"/>
          <w:sz w:val="24"/>
          <w:szCs w:val="24"/>
        </w:rPr>
        <w:t>-GE</w:t>
      </w:r>
      <w:r>
        <w:rPr>
          <w:rFonts w:ascii="Times New Roman" w:hAnsi="Times New Roman" w:cs="Times New Roman"/>
          <w:sz w:val="24"/>
          <w:szCs w:val="24"/>
        </w:rPr>
        <w:t xml:space="preserve"> </w:t>
      </w:r>
      <w:r w:rsidRPr="006F7B7B">
        <w:rPr>
          <w:rFonts w:ascii="Times New Roman" w:hAnsi="Times New Roman" w:cs="Times New Roman"/>
          <w:sz w:val="24"/>
          <w:szCs w:val="24"/>
        </w:rPr>
        <w:t>partner countries.</w:t>
      </w:r>
    </w:p>
    <w:p w14:paraId="2E961BE3" w14:textId="663E41C2" w:rsidR="005739B7" w:rsidRDefault="005739B7" w:rsidP="005739B7">
      <w:pPr>
        <w:numPr>
          <w:ilvl w:val="0"/>
          <w:numId w:val="17"/>
        </w:numPr>
        <w:spacing w:after="0" w:line="240" w:lineRule="auto"/>
        <w:ind w:left="714" w:hanging="357"/>
        <w:jc w:val="both"/>
        <w:rPr>
          <w:rFonts w:ascii="Times New Roman" w:hAnsi="Times New Roman" w:cs="Times New Roman"/>
          <w:sz w:val="24"/>
          <w:szCs w:val="24"/>
        </w:rPr>
      </w:pPr>
      <w:r w:rsidRPr="0077171A">
        <w:rPr>
          <w:rFonts w:ascii="Times New Roman" w:hAnsi="Times New Roman" w:cs="Times New Roman"/>
          <w:sz w:val="24"/>
          <w:szCs w:val="24"/>
        </w:rPr>
        <w:t>Strengthen policy dialogues with EU global and</w:t>
      </w:r>
      <w:r>
        <w:rPr>
          <w:rFonts w:ascii="Times New Roman" w:hAnsi="Times New Roman" w:cs="Times New Roman"/>
          <w:sz w:val="24"/>
          <w:szCs w:val="24"/>
        </w:rPr>
        <w:t xml:space="preserve"> strategic partners and enhance effective</w:t>
      </w:r>
      <w:r w:rsidRPr="0077171A">
        <w:rPr>
          <w:rFonts w:ascii="Times New Roman" w:hAnsi="Times New Roman" w:cs="Times New Roman"/>
          <w:sz w:val="24"/>
          <w:szCs w:val="24"/>
        </w:rPr>
        <w:t xml:space="preserve"> </w:t>
      </w:r>
      <w:r>
        <w:rPr>
          <w:rFonts w:ascii="Times New Roman" w:hAnsi="Times New Roman" w:cs="Times New Roman"/>
          <w:sz w:val="24"/>
          <w:szCs w:val="24"/>
        </w:rPr>
        <w:t xml:space="preserve">coordination of </w:t>
      </w:r>
      <w:r w:rsidRPr="0077171A">
        <w:rPr>
          <w:rFonts w:ascii="Times New Roman" w:hAnsi="Times New Roman" w:cs="Times New Roman"/>
          <w:sz w:val="24"/>
          <w:szCs w:val="24"/>
        </w:rPr>
        <w:t xml:space="preserve">regional and urban related multilateral, regional and bilateral policies at </w:t>
      </w:r>
      <w:r>
        <w:rPr>
          <w:rFonts w:ascii="Times New Roman" w:hAnsi="Times New Roman" w:cs="Times New Roman"/>
          <w:sz w:val="24"/>
          <w:szCs w:val="24"/>
        </w:rPr>
        <w:t xml:space="preserve">the </w:t>
      </w:r>
      <w:r w:rsidRPr="0077171A">
        <w:rPr>
          <w:rFonts w:ascii="Times New Roman" w:hAnsi="Times New Roman" w:cs="Times New Roman"/>
          <w:sz w:val="24"/>
          <w:szCs w:val="24"/>
        </w:rPr>
        <w:t xml:space="preserve">level </w:t>
      </w:r>
      <w:r w:rsidR="00E1441B">
        <w:rPr>
          <w:rFonts w:ascii="Times New Roman" w:hAnsi="Times New Roman" w:cs="Times New Roman"/>
          <w:sz w:val="24"/>
          <w:szCs w:val="24"/>
        </w:rPr>
        <w:t>of the concerned partners</w:t>
      </w:r>
      <w:r>
        <w:rPr>
          <w:rFonts w:ascii="Times New Roman" w:hAnsi="Times New Roman" w:cs="Times New Roman"/>
          <w:sz w:val="24"/>
          <w:szCs w:val="24"/>
        </w:rPr>
        <w:t xml:space="preserve"> </w:t>
      </w:r>
      <w:r w:rsidRPr="0077171A">
        <w:rPr>
          <w:rFonts w:ascii="Times New Roman" w:hAnsi="Times New Roman" w:cs="Times New Roman"/>
          <w:sz w:val="24"/>
          <w:szCs w:val="24"/>
        </w:rPr>
        <w:t xml:space="preserve">while contributing at the same time to developing </w:t>
      </w:r>
      <w:r>
        <w:rPr>
          <w:rFonts w:ascii="Times New Roman" w:hAnsi="Times New Roman" w:cs="Times New Roman"/>
          <w:sz w:val="24"/>
          <w:szCs w:val="24"/>
        </w:rPr>
        <w:t>a</w:t>
      </w:r>
      <w:r w:rsidRPr="0077171A">
        <w:rPr>
          <w:rFonts w:ascii="Times New Roman" w:hAnsi="Times New Roman" w:cs="Times New Roman"/>
          <w:sz w:val="24"/>
          <w:szCs w:val="24"/>
        </w:rPr>
        <w:t xml:space="preserve"> regional and urban policy agenda based on international objectives and experience, providing </w:t>
      </w:r>
      <w:r w:rsidR="00E1441B">
        <w:rPr>
          <w:rFonts w:ascii="Times New Roman" w:hAnsi="Times New Roman" w:cs="Times New Roman"/>
          <w:sz w:val="24"/>
          <w:szCs w:val="24"/>
        </w:rPr>
        <w:t>relevant</w:t>
      </w:r>
      <w:r w:rsidRPr="0077171A">
        <w:rPr>
          <w:rFonts w:ascii="Times New Roman" w:hAnsi="Times New Roman" w:cs="Times New Roman"/>
          <w:sz w:val="24"/>
          <w:szCs w:val="24"/>
        </w:rPr>
        <w:t xml:space="preserve"> cities and regions with networking opportunities worldwide.</w:t>
      </w:r>
    </w:p>
    <w:p w14:paraId="4FB88DC2" w14:textId="77777777" w:rsidR="005739B7" w:rsidRPr="006F7B7B" w:rsidRDefault="005739B7" w:rsidP="005739B7">
      <w:pPr>
        <w:spacing w:before="120" w:after="120" w:line="240" w:lineRule="auto"/>
        <w:ind w:left="714"/>
        <w:jc w:val="both"/>
        <w:rPr>
          <w:rFonts w:ascii="Times New Roman" w:hAnsi="Times New Roman" w:cs="Times New Roman"/>
          <w:sz w:val="24"/>
          <w:szCs w:val="24"/>
        </w:rPr>
      </w:pPr>
    </w:p>
    <w:p w14:paraId="76233173" w14:textId="77777777" w:rsidR="005739B7" w:rsidRPr="005742F9" w:rsidRDefault="005739B7" w:rsidP="005739B7">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592E4EBE">
        <w:rPr>
          <w:rFonts w:ascii="Times New Roman" w:hAnsi="Times New Roman" w:cs="Times New Roman"/>
          <w:b/>
          <w:bCs/>
          <w:sz w:val="24"/>
          <w:szCs w:val="24"/>
        </w:rPr>
        <w:t xml:space="preserve">. Thematic Priorities and Thematic Clusters </w:t>
      </w:r>
    </w:p>
    <w:p w14:paraId="3F2D1126"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Interreg-IPA CBC, ERDF transnational</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and interregional cooperation programmes will be developed as part of the ETC programming process. Therefore, this section addresses IPA-IPA CBC exclusively. </w:t>
      </w:r>
    </w:p>
    <w:p w14:paraId="3EF7A8C2" w14:textId="64C4021C"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 </w:t>
      </w:r>
      <w:r w:rsidRPr="36BE81E9">
        <w:rPr>
          <w:rFonts w:ascii="Times New Roman" w:hAnsi="Times New Roman" w:cs="Times New Roman"/>
          <w:b/>
          <w:bCs/>
          <w:sz w:val="24"/>
          <w:szCs w:val="24"/>
        </w:rPr>
        <w:t>Thematic Priorities (TP)</w:t>
      </w:r>
      <w:r w:rsidRPr="36BE81E9">
        <w:rPr>
          <w:rFonts w:ascii="Times New Roman" w:hAnsi="Times New Roman" w:cs="Times New Roman"/>
          <w:sz w:val="24"/>
          <w:szCs w:val="24"/>
        </w:rPr>
        <w:t xml:space="preserve"> for CBC programmes between IPA beneficiaries are identified </w:t>
      </w:r>
      <w:r w:rsidR="00122EFB" w:rsidRPr="36BE81E9">
        <w:rPr>
          <w:rFonts w:ascii="Times New Roman" w:hAnsi="Times New Roman" w:cs="Times New Roman"/>
          <w:sz w:val="24"/>
          <w:szCs w:val="24"/>
        </w:rPr>
        <w:t xml:space="preserve">as follows </w:t>
      </w:r>
      <w:r w:rsidRPr="36BE81E9">
        <w:rPr>
          <w:rFonts w:ascii="Times New Roman" w:hAnsi="Times New Roman" w:cs="Times New Roman"/>
          <w:sz w:val="24"/>
          <w:szCs w:val="24"/>
        </w:rPr>
        <w:t>in Annex III of the IPA III Regulation:</w:t>
      </w:r>
    </w:p>
    <w:p w14:paraId="3E11FF08" w14:textId="5AA4BC80" w:rsidR="005739B7" w:rsidRPr="0039204D"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(a) promoting employment, labour mobility and social and cultural inclusion across borders through, inter alia: integrating cross-border labour markets, including cross</w:t>
      </w:r>
      <w:r w:rsidR="00F30CB2">
        <w:rPr>
          <w:rFonts w:ascii="Times New Roman" w:hAnsi="Times New Roman" w:cs="Times New Roman"/>
          <w:sz w:val="24"/>
          <w:szCs w:val="24"/>
        </w:rPr>
        <w:t>-</w:t>
      </w:r>
      <w:r w:rsidRPr="592E4EBE">
        <w:rPr>
          <w:rFonts w:ascii="Times New Roman" w:hAnsi="Times New Roman" w:cs="Times New Roman"/>
          <w:sz w:val="24"/>
          <w:szCs w:val="24"/>
        </w:rPr>
        <w:t>border mobility; joint local employment initiatives; information and advisory services and joint training; gender equality; equal opportunities; integration of immigrants' communities and vulnerable groups; investment in public employment services; and supporting investment in public health and social services (TP1);</w:t>
      </w:r>
      <w:r>
        <w:rPr>
          <w:rFonts w:ascii="Times New Roman" w:hAnsi="Times New Roman" w:cs="Times New Roman"/>
          <w:sz w:val="24"/>
          <w:szCs w:val="24"/>
        </w:rPr>
        <w:t xml:space="preserve"> </w:t>
      </w:r>
    </w:p>
    <w:p w14:paraId="5371A69A"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(b) protecting the environment and promoting climate change adaptation and mitigation,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promoting investment to address specific risks, ensuring disaster resilience and disaster prevention, preparedness and response (TP2);</w:t>
      </w:r>
      <w:r>
        <w:rPr>
          <w:rFonts w:ascii="Times New Roman" w:hAnsi="Times New Roman" w:cs="Times New Roman"/>
          <w:sz w:val="24"/>
          <w:szCs w:val="24"/>
        </w:rPr>
        <w:t xml:space="preserve"> </w:t>
      </w:r>
    </w:p>
    <w:p w14:paraId="4A1153D6"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(c) promoting sustainable transport and improving public infrastructures by, inter alia, reducing isolation through improved access to transport, digital networks and services and investing in cross-border water, waste and energy systems and facilities (TP3);</w:t>
      </w:r>
      <w:r>
        <w:rPr>
          <w:rFonts w:ascii="Times New Roman" w:hAnsi="Times New Roman" w:cs="Times New Roman"/>
          <w:sz w:val="24"/>
          <w:szCs w:val="24"/>
        </w:rPr>
        <w:t xml:space="preserve"> </w:t>
      </w:r>
    </w:p>
    <w:p w14:paraId="15CA162E" w14:textId="11084CB6"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(d) promoting the digital economy and society by inter alia the deployment of digital connectivity, the development of </w:t>
      </w:r>
      <w:r w:rsidR="00DA4C1D">
        <w:rPr>
          <w:rFonts w:ascii="Times New Roman" w:hAnsi="Times New Roman" w:cs="Times New Roman"/>
          <w:sz w:val="24"/>
          <w:szCs w:val="24"/>
        </w:rPr>
        <w:t xml:space="preserve">interoperable </w:t>
      </w:r>
      <w:r w:rsidRPr="36BE81E9">
        <w:rPr>
          <w:rFonts w:ascii="Times New Roman" w:hAnsi="Times New Roman" w:cs="Times New Roman"/>
          <w:sz w:val="24"/>
          <w:szCs w:val="24"/>
        </w:rPr>
        <w:t xml:space="preserve">eGovernment services, digital trust and security as well as digital skills and entrepreneurship (TP4); </w:t>
      </w:r>
    </w:p>
    <w:p w14:paraId="04C1A999"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(e) encouraging tourism and cultural and natural heritage (TP5);</w:t>
      </w:r>
      <w:r>
        <w:rPr>
          <w:rFonts w:ascii="Times New Roman" w:hAnsi="Times New Roman" w:cs="Times New Roman"/>
          <w:sz w:val="24"/>
          <w:szCs w:val="24"/>
        </w:rPr>
        <w:t xml:space="preserve"> </w:t>
      </w:r>
    </w:p>
    <w:p w14:paraId="1493FF9E"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(f) investing in youth, education and skills through, inter alia, developing and implementing joint education, vocational training, training schemes and infrastructure supporting joint youth activities (TP6);</w:t>
      </w:r>
      <w:r>
        <w:rPr>
          <w:rFonts w:ascii="Times New Roman" w:hAnsi="Times New Roman" w:cs="Times New Roman"/>
          <w:sz w:val="24"/>
          <w:szCs w:val="24"/>
        </w:rPr>
        <w:t xml:space="preserve"> </w:t>
      </w:r>
    </w:p>
    <w:p w14:paraId="0CC20A3F"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(g) promoting local and regional governance and enhancing the planning and administrative capacity of local and regional authorities (TP7);</w:t>
      </w:r>
      <w:r>
        <w:rPr>
          <w:rFonts w:ascii="Times New Roman" w:hAnsi="Times New Roman" w:cs="Times New Roman"/>
          <w:sz w:val="24"/>
          <w:szCs w:val="24"/>
        </w:rPr>
        <w:t xml:space="preserve"> </w:t>
      </w:r>
    </w:p>
    <w:p w14:paraId="0B0FCF0F"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(h) enhancing competitiveness, the business environment and the development of small and medium-sized enterprises, trade and investment through, inter alia, promotion and support to entrepreneurship, in particular small and medium-sized enterprises, and development of local cross-border markets and internationalisation (TP8);</w:t>
      </w:r>
      <w:r>
        <w:rPr>
          <w:rFonts w:ascii="Times New Roman" w:hAnsi="Times New Roman" w:cs="Times New Roman"/>
          <w:sz w:val="24"/>
          <w:szCs w:val="24"/>
        </w:rPr>
        <w:t xml:space="preserve"> </w:t>
      </w:r>
    </w:p>
    <w:p w14:paraId="78872074" w14:textId="77777777" w:rsidR="005739B7" w:rsidRPr="0039204D"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(i) strengthening research, technological development, innovation and digital technologies through, inter alia, promoting the sharing of human resources and facilities for research and technology development (TP9).</w:t>
      </w:r>
      <w:r>
        <w:rPr>
          <w:rFonts w:ascii="Times New Roman" w:hAnsi="Times New Roman" w:cs="Times New Roman"/>
          <w:sz w:val="24"/>
          <w:szCs w:val="24"/>
        </w:rPr>
        <w:t xml:space="preserve"> </w:t>
      </w:r>
    </w:p>
    <w:p w14:paraId="72F4F035"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These thematic priorities have been grouped in </w:t>
      </w:r>
      <w:r w:rsidRPr="36BE81E9">
        <w:rPr>
          <w:rFonts w:ascii="Times New Roman" w:hAnsi="Times New Roman" w:cs="Times New Roman"/>
          <w:b/>
          <w:bCs/>
          <w:sz w:val="24"/>
          <w:szCs w:val="24"/>
        </w:rPr>
        <w:t xml:space="preserve">Thematic Clusters </w:t>
      </w:r>
      <w:r w:rsidRPr="36BE81E9">
        <w:rPr>
          <w:rFonts w:ascii="Times New Roman" w:hAnsi="Times New Roman" w:cs="Times New Roman"/>
          <w:sz w:val="24"/>
          <w:szCs w:val="24"/>
        </w:rPr>
        <w:t xml:space="preserve">in line with priorities identified under the ETC regulation (see table 1) in order to ensure alignment with the corresponding Priority Objective of the ERDF. </w:t>
      </w:r>
    </w:p>
    <w:p w14:paraId="39B01B03"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thematic cluster ‘improved capacity of regional and local authorities to tack</w:t>
      </w:r>
      <w:r>
        <w:rPr>
          <w:rFonts w:ascii="Times New Roman" w:hAnsi="Times New Roman" w:cs="Times New Roman"/>
          <w:sz w:val="24"/>
          <w:szCs w:val="24"/>
        </w:rPr>
        <w:t>le local challenges’ should be</w:t>
      </w:r>
      <w:r w:rsidRPr="36BE81E9">
        <w:rPr>
          <w:rFonts w:ascii="Times New Roman" w:hAnsi="Times New Roman" w:cs="Times New Roman"/>
          <w:sz w:val="24"/>
          <w:szCs w:val="24"/>
        </w:rPr>
        <w:t xml:space="preserve"> mainstreamed by the IPA beneficiaries in each cross-border cooperation programme. In addition to this, maximum two thematic clusters from those listed in the table below shall be selected. The selection of the thematic clusters/priority areas will be done jointly by the regions participating in a programme, following an analysis of the needs of the programme area and extensive consultation with local stakeholders. </w:t>
      </w:r>
    </w:p>
    <w:p w14:paraId="34092260" w14:textId="6FA77807" w:rsidR="005739B7" w:rsidRDefault="005739B7" w:rsidP="005739B7">
      <w:pPr>
        <w:spacing w:after="120" w:line="240" w:lineRule="auto"/>
        <w:jc w:val="both"/>
        <w:rPr>
          <w:rFonts w:ascii="Times New Roman" w:hAnsi="Times New Roman" w:cs="Times New Roman"/>
          <w:sz w:val="24"/>
          <w:szCs w:val="24"/>
        </w:rPr>
      </w:pPr>
      <w:r w:rsidRPr="592E4EBE">
        <w:rPr>
          <w:rFonts w:ascii="Times New Roman" w:hAnsi="Times New Roman" w:cs="Times New Roman"/>
          <w:sz w:val="24"/>
          <w:szCs w:val="24"/>
        </w:rPr>
        <w:t xml:space="preserve">The IPA III beneficiaries will design an intervention logic at programme level demonstrating how the chosen thematic clusters, thematic priorities and activities lead together to the achievement of the strategic objectives of territorial programmes. Finally, the programmes shall also include a specific budget allocation for technical assistance operations. The proposed actions will also be designed in a way to assess, address and mainstream gender </w:t>
      </w:r>
      <w:r w:rsidR="006C52F6">
        <w:rPr>
          <w:rFonts w:ascii="Times New Roman" w:hAnsi="Times New Roman" w:cs="Times New Roman"/>
          <w:sz w:val="24"/>
          <w:szCs w:val="24"/>
        </w:rPr>
        <w:t xml:space="preserve">equality </w:t>
      </w:r>
      <w:r w:rsidRPr="592E4EBE">
        <w:rPr>
          <w:rFonts w:ascii="Times New Roman" w:hAnsi="Times New Roman" w:cs="Times New Roman"/>
          <w:sz w:val="24"/>
          <w:szCs w:val="24"/>
        </w:rPr>
        <w:t>and promote gender equality.</w:t>
      </w:r>
      <w:r>
        <w:rPr>
          <w:rFonts w:ascii="Times New Roman" w:hAnsi="Times New Roman" w:cs="Times New Roman"/>
          <w:sz w:val="24"/>
          <w:szCs w:val="24"/>
        </w:rPr>
        <w:t xml:space="preserve">   </w:t>
      </w:r>
    </w:p>
    <w:p w14:paraId="5D788002" w14:textId="35B16885" w:rsidR="005739B7" w:rsidRDefault="005739B7" w:rsidP="005739B7">
      <w:pPr>
        <w:spacing w:after="120" w:line="240" w:lineRule="auto"/>
        <w:jc w:val="both"/>
        <w:rPr>
          <w:rFonts w:ascii="Times New Roman" w:hAnsi="Times New Roman" w:cs="Times New Roman"/>
          <w:sz w:val="24"/>
          <w:szCs w:val="24"/>
        </w:rPr>
      </w:pPr>
    </w:p>
    <w:p w14:paraId="72038DAE" w14:textId="5AE9EF1B" w:rsidR="007C6815" w:rsidRDefault="007C6815" w:rsidP="005739B7">
      <w:pPr>
        <w:spacing w:after="120" w:line="240" w:lineRule="auto"/>
        <w:jc w:val="both"/>
        <w:rPr>
          <w:rFonts w:ascii="Times New Roman" w:hAnsi="Times New Roman" w:cs="Times New Roman"/>
          <w:sz w:val="24"/>
          <w:szCs w:val="24"/>
        </w:rPr>
      </w:pPr>
    </w:p>
    <w:p w14:paraId="5B86B9B2" w14:textId="073AF4C0" w:rsidR="007C6815" w:rsidRDefault="007C6815" w:rsidP="005739B7">
      <w:pPr>
        <w:spacing w:after="120" w:line="240" w:lineRule="auto"/>
        <w:jc w:val="both"/>
        <w:rPr>
          <w:rFonts w:ascii="Times New Roman" w:hAnsi="Times New Roman" w:cs="Times New Roman"/>
          <w:sz w:val="24"/>
          <w:szCs w:val="24"/>
        </w:rPr>
      </w:pPr>
    </w:p>
    <w:p w14:paraId="7BCC0CF7" w14:textId="4DF8DD75" w:rsidR="007C6815" w:rsidRDefault="007C6815" w:rsidP="005739B7">
      <w:pPr>
        <w:spacing w:after="120" w:line="240" w:lineRule="auto"/>
        <w:jc w:val="both"/>
        <w:rPr>
          <w:rFonts w:ascii="Times New Roman" w:hAnsi="Times New Roman" w:cs="Times New Roman"/>
          <w:sz w:val="24"/>
          <w:szCs w:val="24"/>
        </w:rPr>
      </w:pPr>
    </w:p>
    <w:p w14:paraId="5F54C0FF" w14:textId="77777777" w:rsidR="007C6815" w:rsidRDefault="007C6815" w:rsidP="005739B7">
      <w:pPr>
        <w:spacing w:after="120" w:line="240" w:lineRule="auto"/>
        <w:jc w:val="both"/>
        <w:rPr>
          <w:rFonts w:ascii="Times New Roman" w:hAnsi="Times New Roman" w:cs="Times New Roman"/>
          <w:sz w:val="24"/>
          <w:szCs w:val="24"/>
        </w:rPr>
      </w:pPr>
    </w:p>
    <w:p w14:paraId="72D3C356" w14:textId="77777777" w:rsidR="005739B7" w:rsidRDefault="005739B7" w:rsidP="005739B7">
      <w:pPr>
        <w:spacing w:after="120" w:line="240" w:lineRule="auto"/>
        <w:jc w:val="both"/>
        <w:rPr>
          <w:rFonts w:ascii="Times New Roman" w:hAnsi="Times New Roman" w:cs="Times New Roman"/>
          <w:b/>
          <w:bCs/>
          <w:i/>
          <w:iCs/>
          <w:sz w:val="24"/>
          <w:szCs w:val="24"/>
        </w:rPr>
      </w:pPr>
      <w:r w:rsidRPr="36BE81E9">
        <w:rPr>
          <w:rFonts w:ascii="Times New Roman" w:hAnsi="Times New Roman" w:cs="Times New Roman"/>
          <w:b/>
          <w:bCs/>
          <w:i/>
          <w:iCs/>
          <w:sz w:val="24"/>
          <w:szCs w:val="24"/>
        </w:rPr>
        <w:t xml:space="preserve">Table 1: Correspondence IPA Thematic Priorities and ERDF Priority Objectives </w:t>
      </w:r>
    </w:p>
    <w:tbl>
      <w:tblPr>
        <w:tblStyle w:val="TableGrid1"/>
        <w:tblW w:w="9180" w:type="dxa"/>
        <w:tblLayout w:type="fixed"/>
        <w:tblLook w:val="04A0" w:firstRow="1" w:lastRow="0" w:firstColumn="1" w:lastColumn="0" w:noHBand="0" w:noVBand="1"/>
      </w:tblPr>
      <w:tblGrid>
        <w:gridCol w:w="1668"/>
        <w:gridCol w:w="3543"/>
        <w:gridCol w:w="3969"/>
      </w:tblGrid>
      <w:tr w:rsidR="005739B7" w:rsidRPr="005742F9" w14:paraId="0793838E" w14:textId="77777777" w:rsidTr="00EC3288">
        <w:tc>
          <w:tcPr>
            <w:tcW w:w="1668" w:type="dxa"/>
            <w:shd w:val="clear" w:color="auto" w:fill="auto"/>
          </w:tcPr>
          <w:p w14:paraId="40F9A8B0" w14:textId="77777777" w:rsidR="005739B7" w:rsidRPr="0039204D" w:rsidRDefault="005739B7" w:rsidP="00EC3288">
            <w:pPr>
              <w:spacing w:before="240"/>
              <w:jc w:val="center"/>
              <w:rPr>
                <w:rFonts w:ascii="Times New Roman" w:hAnsi="Times New Roman" w:cs="Times New Roman"/>
              </w:rPr>
            </w:pPr>
            <w:r w:rsidRPr="36BE81E9">
              <w:rPr>
                <w:rFonts w:ascii="Times New Roman" w:hAnsi="Times New Roman" w:cs="Times New Roman"/>
              </w:rPr>
              <w:t>Thematic Cluster</w:t>
            </w:r>
          </w:p>
        </w:tc>
        <w:tc>
          <w:tcPr>
            <w:tcW w:w="3543" w:type="dxa"/>
            <w:shd w:val="clear" w:color="auto" w:fill="auto"/>
          </w:tcPr>
          <w:p w14:paraId="44C937E3" w14:textId="77777777" w:rsidR="005739B7" w:rsidRPr="005742F9" w:rsidRDefault="005739B7" w:rsidP="00EC3288">
            <w:pPr>
              <w:spacing w:before="240"/>
              <w:ind w:left="360"/>
              <w:jc w:val="center"/>
              <w:rPr>
                <w:rFonts w:ascii="Times New Roman" w:hAnsi="Times New Roman" w:cs="Times New Roman"/>
              </w:rPr>
            </w:pPr>
            <w:r w:rsidRPr="36BE81E9">
              <w:rPr>
                <w:rFonts w:ascii="Times New Roman" w:hAnsi="Times New Roman" w:cs="Times New Roman"/>
              </w:rPr>
              <w:t>Thematic Priorities IPA</w:t>
            </w:r>
          </w:p>
        </w:tc>
        <w:tc>
          <w:tcPr>
            <w:tcW w:w="3969" w:type="dxa"/>
            <w:shd w:val="clear" w:color="auto" w:fill="auto"/>
          </w:tcPr>
          <w:p w14:paraId="7671D208" w14:textId="77777777" w:rsidR="005739B7" w:rsidRPr="0039204D" w:rsidRDefault="005739B7" w:rsidP="00EC3288">
            <w:pPr>
              <w:spacing w:before="240"/>
              <w:ind w:left="360"/>
              <w:jc w:val="center"/>
              <w:rPr>
                <w:rFonts w:ascii="Times New Roman" w:hAnsi="Times New Roman" w:cs="Times New Roman"/>
              </w:rPr>
            </w:pPr>
            <w:r w:rsidRPr="36BE81E9">
              <w:rPr>
                <w:rFonts w:ascii="Times New Roman" w:hAnsi="Times New Roman" w:cs="Times New Roman"/>
              </w:rPr>
              <w:t>Corresponding Priority Objective ERDF</w:t>
            </w:r>
          </w:p>
        </w:tc>
      </w:tr>
      <w:tr w:rsidR="005739B7" w:rsidRPr="005742F9" w14:paraId="515D7511" w14:textId="77777777" w:rsidTr="00EC3288">
        <w:tc>
          <w:tcPr>
            <w:tcW w:w="1668" w:type="dxa"/>
          </w:tcPr>
          <w:p w14:paraId="412AA1CC" w14:textId="77777777" w:rsidR="005739B7" w:rsidRPr="005742F9" w:rsidRDefault="005739B7" w:rsidP="00EC3288">
            <w:pPr>
              <w:rPr>
                <w:rFonts w:ascii="Times New Roman" w:hAnsi="Times New Roman" w:cs="Times New Roman"/>
                <w:b/>
                <w:bCs/>
              </w:rPr>
            </w:pPr>
            <w:r w:rsidRPr="36BE81E9">
              <w:rPr>
                <w:rFonts w:ascii="Times New Roman" w:hAnsi="Times New Roman" w:cs="Times New Roman"/>
                <w:b/>
                <w:bCs/>
              </w:rPr>
              <w:t>Improved employment opportunities and Social Rights</w:t>
            </w:r>
          </w:p>
        </w:tc>
        <w:tc>
          <w:tcPr>
            <w:tcW w:w="3543" w:type="dxa"/>
          </w:tcPr>
          <w:p w14:paraId="1B8DE654"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 xml:space="preserve">TP1: promoting employment, labour mobility and social and cultural inclusion across borders </w:t>
            </w:r>
            <w:r w:rsidRPr="36BE81E9">
              <w:rPr>
                <w:rFonts w:ascii="Times New Roman" w:hAnsi="Times New Roman" w:cs="Times New Roman"/>
              </w:rPr>
              <w:t>through</w:t>
            </w:r>
            <w:r w:rsidRPr="36BE81E9">
              <w:rPr>
                <w:rFonts w:ascii="Times New Roman" w:hAnsi="Times New Roman" w:cs="Times New Roman"/>
                <w:b/>
                <w:bCs/>
              </w:rPr>
              <w:t>,</w:t>
            </w:r>
            <w:r w:rsidRPr="36BE81E9">
              <w:rPr>
                <w:rFonts w:ascii="Times New Roman" w:hAnsi="Times New Roman" w:cs="Times New Roman"/>
              </w:rPr>
              <w:t xml:space="preserve"> inter alia: integrating cross-border labour markets, including cross-border mobility; joint local employment initiatives; information and advisory services and joint training; gender equality; equal opportunities; integration of immigrants' communities and vulnerable groups; investment in public employment services; and supporting investment in public health and social services;</w:t>
            </w:r>
            <w:r>
              <w:rPr>
                <w:rFonts w:ascii="Times New Roman" w:hAnsi="Times New Roman" w:cs="Times New Roman"/>
              </w:rPr>
              <w:t xml:space="preserve"> </w:t>
            </w:r>
          </w:p>
          <w:p w14:paraId="2DC9E87A"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TP6:</w:t>
            </w:r>
            <w:r w:rsidRPr="36BE81E9">
              <w:rPr>
                <w:rFonts w:ascii="Times New Roman" w:hAnsi="Times New Roman" w:cs="Times New Roman"/>
              </w:rPr>
              <w:t xml:space="preserve"> </w:t>
            </w:r>
            <w:r w:rsidRPr="36BE81E9">
              <w:rPr>
                <w:rFonts w:ascii="Times New Roman" w:hAnsi="Times New Roman" w:cs="Times New Roman"/>
                <w:b/>
                <w:bCs/>
              </w:rPr>
              <w:t>investing in youth, education and skills</w:t>
            </w:r>
            <w:r w:rsidRPr="36BE81E9">
              <w:rPr>
                <w:rFonts w:ascii="Times New Roman" w:hAnsi="Times New Roman" w:cs="Times New Roman"/>
              </w:rPr>
              <w:t xml:space="preserve"> through, inter alia, developing and implementing joint education, vocational training, training schemes and infrastructure supporting joint youth activities </w:t>
            </w:r>
          </w:p>
        </w:tc>
        <w:tc>
          <w:tcPr>
            <w:tcW w:w="3969" w:type="dxa"/>
          </w:tcPr>
          <w:p w14:paraId="35E8607F"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‘A more social Europe implementing the European Pillar of Social Rights' ('PO 4') by</w:t>
            </w:r>
            <w:r w:rsidRPr="36BE81E9">
              <w:rPr>
                <w:rFonts w:ascii="Times New Roman" w:hAnsi="Times New Roman" w:cs="Times New Roman"/>
              </w:rPr>
              <w:t>:</w:t>
            </w:r>
          </w:p>
          <w:p w14:paraId="2ECAA940" w14:textId="77777777" w:rsidR="005739B7" w:rsidRPr="005742F9" w:rsidRDefault="005739B7" w:rsidP="00EC3288">
            <w:pPr>
              <w:jc w:val="both"/>
              <w:rPr>
                <w:rFonts w:ascii="Times New Roman" w:hAnsi="Times New Roman" w:cs="Times New Roman"/>
              </w:rPr>
            </w:pPr>
            <w:r w:rsidRPr="592E4EBE">
              <w:rPr>
                <w:rFonts w:ascii="Times New Roman" w:hAnsi="Times New Roman" w:cs="Times New Roman"/>
              </w:rPr>
              <w:t xml:space="preserve">i) enhancing the effectiveness of labour markets and access to quality employment through developing social innovation and infrastructure; </w:t>
            </w:r>
          </w:p>
          <w:p w14:paraId="2FCBD02C"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ii) improving access to inclusive and quality services in education, training and life long learning through developing infrastructure; </w:t>
            </w:r>
          </w:p>
          <w:p w14:paraId="38FDEC3F"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 (iii) increasing the socioeconomic integration of marginalised communities, migrants and disadvantaged groups, through integrated measures including housing and social services;</w:t>
            </w:r>
          </w:p>
          <w:p w14:paraId="005CF293"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 (iv) ensuring equal access to health care through developing infrastructure, including primary care; </w:t>
            </w:r>
          </w:p>
          <w:p w14:paraId="08D2A209" w14:textId="77777777" w:rsidR="005739B7" w:rsidRPr="005742F9" w:rsidRDefault="005739B7" w:rsidP="00EC3288">
            <w:pPr>
              <w:jc w:val="both"/>
              <w:rPr>
                <w:rFonts w:ascii="Times New Roman" w:hAnsi="Times New Roman" w:cs="Times New Roman"/>
                <w:u w:val="single"/>
              </w:rPr>
            </w:pPr>
            <w:r w:rsidRPr="36BE81E9">
              <w:rPr>
                <w:rFonts w:ascii="Times New Roman" w:hAnsi="Times New Roman" w:cs="Times New Roman"/>
                <w:u w:val="single"/>
              </w:rPr>
              <w:t>Specific ETC:</w:t>
            </w:r>
          </w:p>
          <w:p w14:paraId="139EE254" w14:textId="77777777" w:rsidR="005739B7" w:rsidRPr="0039204D" w:rsidRDefault="005739B7" w:rsidP="00EC3288">
            <w:pPr>
              <w:jc w:val="both"/>
              <w:rPr>
                <w:rFonts w:ascii="Times New Roman" w:hAnsi="Times New Roman" w:cs="Times New Roman"/>
                <w:i/>
                <w:iCs/>
              </w:rPr>
            </w:pPr>
            <w:r w:rsidRPr="36BE81E9">
              <w:rPr>
                <w:rFonts w:ascii="Times New Roman" w:hAnsi="Times New Roman" w:cs="Times New Roman"/>
              </w:rPr>
              <w:t>(b) improving access to and the quality of education, training and lifelong learning across borders with a view to increasing the educational attainment and skills levels thereof as to be recognised across border</w:t>
            </w:r>
          </w:p>
        </w:tc>
      </w:tr>
      <w:tr w:rsidR="005739B7" w:rsidRPr="005742F9" w14:paraId="59CF458D" w14:textId="77777777" w:rsidTr="00EC3288">
        <w:tc>
          <w:tcPr>
            <w:tcW w:w="1668" w:type="dxa"/>
          </w:tcPr>
          <w:p w14:paraId="0960DF7D" w14:textId="77777777" w:rsidR="005739B7" w:rsidRPr="005742F9" w:rsidRDefault="005739B7" w:rsidP="00EC3288">
            <w:pPr>
              <w:rPr>
                <w:rFonts w:ascii="Times New Roman" w:hAnsi="Times New Roman" w:cs="Times New Roman"/>
                <w:b/>
                <w:bCs/>
              </w:rPr>
            </w:pPr>
            <w:r w:rsidRPr="36BE81E9">
              <w:rPr>
                <w:rFonts w:ascii="Times New Roman" w:hAnsi="Times New Roman" w:cs="Times New Roman"/>
                <w:b/>
                <w:bCs/>
              </w:rPr>
              <w:t>Greener and Improved resource efficiency</w:t>
            </w:r>
          </w:p>
          <w:p w14:paraId="646A7328" w14:textId="77777777" w:rsidR="005739B7" w:rsidRPr="005742F9" w:rsidRDefault="005739B7" w:rsidP="00EC3288">
            <w:pPr>
              <w:ind w:left="360"/>
              <w:rPr>
                <w:rFonts w:ascii="Times New Roman" w:hAnsi="Times New Roman" w:cs="Times New Roman"/>
                <w:b/>
                <w:szCs w:val="24"/>
              </w:rPr>
            </w:pPr>
          </w:p>
        </w:tc>
        <w:tc>
          <w:tcPr>
            <w:tcW w:w="3543" w:type="dxa"/>
          </w:tcPr>
          <w:p w14:paraId="62D0C0F0"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 xml:space="preserve">TP2 protecting the environment and promoting climate change adaptation and mitigation, risk prevention and management </w:t>
            </w:r>
            <w:r w:rsidRPr="36BE81E9">
              <w:rPr>
                <w:rFonts w:ascii="Times New Roman" w:hAnsi="Times New Roman" w:cs="Times New Roman"/>
              </w:rPr>
              <w:t>throu</w:t>
            </w:r>
            <w:r w:rsidRPr="36BE81E9">
              <w:rPr>
                <w:rFonts w:ascii="Times New Roman" w:hAnsi="Times New Roman" w:cs="Times New Roman"/>
                <w:b/>
                <w:bCs/>
              </w:rPr>
              <w:t>g</w:t>
            </w:r>
            <w:r w:rsidRPr="36BE81E9">
              <w:rPr>
                <w:rFonts w:ascii="Times New Roman" w:hAnsi="Times New Roman" w:cs="Times New Roman"/>
              </w:rPr>
              <w:t>h</w:t>
            </w:r>
          </w:p>
          <w:p w14:paraId="7D86973E"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inter alia: joint actions for environmental protection; reduction of plastic pollution, promoting sustainable use of natural resources, coordinated maritime spatial planning, resource efficiency and circular economy, renewable energy sources and the shift towards a safe and sustainable low-carbon, green economy; improving waste and water management, promoting investment to address specific risks, ensuring disaster resilience and disaster prevention, preparedness and response.</w:t>
            </w:r>
          </w:p>
        </w:tc>
        <w:tc>
          <w:tcPr>
            <w:tcW w:w="3969" w:type="dxa"/>
          </w:tcPr>
          <w:p w14:paraId="2F65207B" w14:textId="77777777" w:rsidR="005739B7" w:rsidRPr="005742F9" w:rsidRDefault="005739B7" w:rsidP="00EC3288">
            <w:pPr>
              <w:jc w:val="both"/>
              <w:rPr>
                <w:rFonts w:ascii="Times New Roman" w:hAnsi="Times New Roman" w:cs="Times New Roman"/>
                <w:b/>
                <w:bCs/>
              </w:rPr>
            </w:pPr>
            <w:r w:rsidRPr="36BE81E9">
              <w:rPr>
                <w:rFonts w:ascii="Times New Roman" w:hAnsi="Times New Roman" w:cs="Times New Roman"/>
                <w:b/>
                <w:bCs/>
              </w:rPr>
              <w:t>‘A greener, low-carbon Europe by promoting clean and fair energy transition, green and blue investment, the circular economy, climate adaptation and risk prevention and management ('PO 2') by</w:t>
            </w:r>
          </w:p>
          <w:p w14:paraId="559BEB5E" w14:textId="77777777" w:rsidR="005739B7" w:rsidRPr="005742F9" w:rsidRDefault="005739B7" w:rsidP="00EC3288">
            <w:pPr>
              <w:jc w:val="both"/>
              <w:rPr>
                <w:rFonts w:ascii="Times New Roman" w:hAnsi="Times New Roman" w:cs="Times New Roman"/>
              </w:rPr>
            </w:pPr>
            <w:r w:rsidRPr="592E4EBE">
              <w:rPr>
                <w:rFonts w:ascii="Times New Roman" w:hAnsi="Times New Roman" w:cs="Times New Roman"/>
              </w:rPr>
              <w:t xml:space="preserve">i) promoting energy efficiency measures; </w:t>
            </w:r>
          </w:p>
          <w:p w14:paraId="59A16970"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(ii) promoting renewable energy;</w:t>
            </w:r>
          </w:p>
          <w:p w14:paraId="2056C3EF"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 (iii) developing smart energy systems, grids and storage at local level; </w:t>
            </w:r>
          </w:p>
          <w:p w14:paraId="3BA75DEC"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(iv) promoting climate change adaptation, risk prevention and disaster resilience; </w:t>
            </w:r>
          </w:p>
          <w:p w14:paraId="1ECB061F"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(v) promoting sustainable water management; </w:t>
            </w:r>
          </w:p>
          <w:p w14:paraId="6DB68F80"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(vi) promoting the transition to a circular economy; </w:t>
            </w:r>
          </w:p>
          <w:p w14:paraId="0FAC2334"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(vii) enhancing biodiversity, green infrastructure in the urban environment, and reducing pollution;</w:t>
            </w:r>
          </w:p>
        </w:tc>
      </w:tr>
      <w:tr w:rsidR="005739B7" w:rsidRPr="005742F9" w14:paraId="5BFDCCA1" w14:textId="77777777" w:rsidTr="00EC3288">
        <w:tc>
          <w:tcPr>
            <w:tcW w:w="1668" w:type="dxa"/>
          </w:tcPr>
          <w:p w14:paraId="7FAC0CE2" w14:textId="77777777" w:rsidR="005739B7" w:rsidRPr="005742F9" w:rsidRDefault="005739B7" w:rsidP="00EC3288">
            <w:pPr>
              <w:rPr>
                <w:rFonts w:ascii="Times New Roman" w:hAnsi="Times New Roman" w:cs="Times New Roman"/>
                <w:b/>
                <w:bCs/>
              </w:rPr>
            </w:pPr>
            <w:r w:rsidRPr="36BE81E9">
              <w:rPr>
                <w:rFonts w:ascii="Times New Roman" w:hAnsi="Times New Roman" w:cs="Times New Roman"/>
                <w:b/>
                <w:bCs/>
              </w:rPr>
              <w:t>Improved public infrastructures/ connectivity</w:t>
            </w:r>
            <w:r>
              <w:t xml:space="preserve"> </w:t>
            </w:r>
            <w:r w:rsidRPr="36BE81E9">
              <w:rPr>
                <w:rFonts w:ascii="Times New Roman" w:hAnsi="Times New Roman" w:cs="Times New Roman"/>
                <w:b/>
                <w:bCs/>
              </w:rPr>
              <w:t>(transport, digital, energy, waste and water)</w:t>
            </w:r>
          </w:p>
          <w:p w14:paraId="06773211" w14:textId="77777777" w:rsidR="005739B7" w:rsidRPr="005742F9" w:rsidRDefault="005739B7" w:rsidP="00EC3288">
            <w:pPr>
              <w:rPr>
                <w:rFonts w:ascii="Times New Roman" w:hAnsi="Times New Roman" w:cs="Times New Roman"/>
                <w:b/>
                <w:szCs w:val="24"/>
              </w:rPr>
            </w:pPr>
          </w:p>
          <w:p w14:paraId="25C8624F" w14:textId="77777777" w:rsidR="005739B7" w:rsidRPr="005742F9" w:rsidRDefault="005739B7" w:rsidP="00EC3288">
            <w:pPr>
              <w:jc w:val="center"/>
              <w:rPr>
                <w:rFonts w:ascii="Times New Roman" w:hAnsi="Times New Roman" w:cs="Times New Roman"/>
                <w:b/>
                <w:szCs w:val="24"/>
              </w:rPr>
            </w:pPr>
          </w:p>
          <w:p w14:paraId="13704A04" w14:textId="77777777" w:rsidR="005739B7" w:rsidRPr="005742F9" w:rsidRDefault="005739B7" w:rsidP="00EC3288">
            <w:pPr>
              <w:jc w:val="center"/>
              <w:rPr>
                <w:rFonts w:ascii="Times New Roman" w:hAnsi="Times New Roman" w:cs="Times New Roman"/>
                <w:b/>
                <w:szCs w:val="24"/>
              </w:rPr>
            </w:pPr>
          </w:p>
        </w:tc>
        <w:tc>
          <w:tcPr>
            <w:tcW w:w="3543" w:type="dxa"/>
          </w:tcPr>
          <w:p w14:paraId="55D442B5"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TP3 promoting sustainable transport and improving public infrastructures</w:t>
            </w:r>
            <w:r w:rsidRPr="36BE81E9">
              <w:rPr>
                <w:rFonts w:ascii="Times New Roman" w:hAnsi="Times New Roman" w:cs="Times New Roman"/>
              </w:rPr>
              <w:t xml:space="preserve"> by, inter alia, reducing isolation through improved access to transport, digital networks and services and investing in cross-border water, waste and energy systems and facilities.</w:t>
            </w:r>
          </w:p>
          <w:p w14:paraId="4B100FFE"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TP4 promoting the digital economy</w:t>
            </w:r>
            <w:r w:rsidRPr="36BE81E9">
              <w:rPr>
                <w:rFonts w:ascii="Times New Roman" w:hAnsi="Times New Roman" w:cs="Times New Roman"/>
              </w:rPr>
              <w:t xml:space="preserve"> </w:t>
            </w:r>
            <w:r w:rsidRPr="36BE81E9">
              <w:rPr>
                <w:rFonts w:ascii="Times New Roman" w:hAnsi="Times New Roman" w:cs="Times New Roman"/>
                <w:b/>
                <w:bCs/>
              </w:rPr>
              <w:t>and society</w:t>
            </w:r>
            <w:r w:rsidRPr="36BE81E9">
              <w:rPr>
                <w:rFonts w:ascii="Times New Roman" w:hAnsi="Times New Roman" w:cs="Times New Roman"/>
              </w:rPr>
              <w:t xml:space="preserve"> by inter alia the deployment of digital connectivity, the development of eGovernment services, digital trust and security as well as digital skills and entrepreneurship.</w:t>
            </w:r>
          </w:p>
        </w:tc>
        <w:tc>
          <w:tcPr>
            <w:tcW w:w="3969" w:type="dxa"/>
          </w:tcPr>
          <w:p w14:paraId="42424EE0" w14:textId="77777777" w:rsidR="005739B7" w:rsidRPr="005742F9" w:rsidRDefault="005739B7" w:rsidP="00EC3288">
            <w:pPr>
              <w:rPr>
                <w:rFonts w:ascii="Times New Roman" w:hAnsi="Times New Roman" w:cs="Times New Roman"/>
                <w:b/>
                <w:bCs/>
              </w:rPr>
            </w:pPr>
            <w:r w:rsidRPr="36BE81E9">
              <w:rPr>
                <w:rFonts w:ascii="Times New Roman" w:hAnsi="Times New Roman" w:cs="Times New Roman"/>
                <w:b/>
                <w:bCs/>
              </w:rPr>
              <w:t>‘A more connected Europe by enhancing mobility and regional ICT connectivity' ('PO 3')</w:t>
            </w:r>
          </w:p>
          <w:p w14:paraId="04D8CBC8" w14:textId="77777777" w:rsidR="005739B7" w:rsidRPr="005742F9" w:rsidRDefault="005739B7" w:rsidP="00EC3288">
            <w:pPr>
              <w:jc w:val="both"/>
              <w:rPr>
                <w:rFonts w:ascii="Times New Roman" w:hAnsi="Times New Roman" w:cs="Times New Roman"/>
              </w:rPr>
            </w:pPr>
            <w:r w:rsidRPr="592E4EBE">
              <w:rPr>
                <w:rFonts w:ascii="Times New Roman" w:hAnsi="Times New Roman" w:cs="Times New Roman"/>
              </w:rPr>
              <w:t xml:space="preserve">i) enhancing digital connectivity; </w:t>
            </w:r>
          </w:p>
          <w:p w14:paraId="0C0E7A6C"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(ii) developing a sustainable, climate resilient, intelligent, secure and intermodal TEN-T; </w:t>
            </w:r>
          </w:p>
          <w:p w14:paraId="227B2EA5"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iii) developing sustainable, climate resilient, intelligent and intermodal mobility at all levels, including improved access to TENT and cross-border mobility; </w:t>
            </w:r>
          </w:p>
          <w:p w14:paraId="6AB92643"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(iv) promoting sustainable multimodal urban mobility; </w:t>
            </w:r>
          </w:p>
        </w:tc>
      </w:tr>
      <w:tr w:rsidR="005739B7" w:rsidRPr="005742F9" w14:paraId="167B1D96" w14:textId="77777777" w:rsidTr="00EC3288">
        <w:tc>
          <w:tcPr>
            <w:tcW w:w="1668" w:type="dxa"/>
          </w:tcPr>
          <w:p w14:paraId="32A012BB" w14:textId="77777777" w:rsidR="005739B7" w:rsidRPr="005742F9" w:rsidRDefault="005739B7" w:rsidP="00EC3288">
            <w:pPr>
              <w:rPr>
                <w:rFonts w:ascii="Times New Roman" w:hAnsi="Times New Roman" w:cs="Times New Roman"/>
                <w:b/>
                <w:bCs/>
              </w:rPr>
            </w:pPr>
            <w:r w:rsidRPr="592E4EBE">
              <w:rPr>
                <w:rFonts w:ascii="Times New Roman" w:hAnsi="Times New Roman" w:cs="Times New Roman"/>
                <w:b/>
                <w:bCs/>
              </w:rPr>
              <w:t>Improved business environment and competiveness</w:t>
            </w:r>
          </w:p>
        </w:tc>
        <w:tc>
          <w:tcPr>
            <w:tcW w:w="3543" w:type="dxa"/>
          </w:tcPr>
          <w:p w14:paraId="41FB6C65"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TP5 encouraging tourism and cultural and natural heritage</w:t>
            </w:r>
            <w:r w:rsidRPr="36BE81E9">
              <w:rPr>
                <w:rFonts w:ascii="Times New Roman" w:hAnsi="Times New Roman" w:cs="Times New Roman"/>
              </w:rPr>
              <w:t xml:space="preserve">; </w:t>
            </w:r>
          </w:p>
          <w:p w14:paraId="657A3E13"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 xml:space="preserve">TP8 enhancing competitiveness, the business environment and the development of small and medium-sized enterprises, trade and investment </w:t>
            </w:r>
            <w:r w:rsidRPr="36BE81E9">
              <w:rPr>
                <w:rFonts w:ascii="Times New Roman" w:hAnsi="Times New Roman" w:cs="Times New Roman"/>
              </w:rPr>
              <w:t>through, inter alia, promotion and support to entrepreneurship, in particular small and medium-sized enterprises, and development of local cross-border markets and internationalisation;</w:t>
            </w:r>
            <w:r>
              <w:rPr>
                <w:rFonts w:ascii="Times New Roman" w:hAnsi="Times New Roman" w:cs="Times New Roman"/>
              </w:rPr>
              <w:t xml:space="preserve"> </w:t>
            </w:r>
          </w:p>
          <w:p w14:paraId="1DAC4183"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 xml:space="preserve">TP9: strengthening research, technological development, innovation and digital technologies </w:t>
            </w:r>
            <w:r w:rsidRPr="36BE81E9">
              <w:rPr>
                <w:rFonts w:ascii="Times New Roman" w:hAnsi="Times New Roman" w:cs="Times New Roman"/>
              </w:rPr>
              <w:t>through, inter alia, promoting the sharing of human resources, capacity building in research and innovation systems, mobility and grant schemes adapted to promote the principle of scientific excellence and facilities for research and technology development.</w:t>
            </w:r>
          </w:p>
        </w:tc>
        <w:tc>
          <w:tcPr>
            <w:tcW w:w="3969" w:type="dxa"/>
          </w:tcPr>
          <w:p w14:paraId="7459F390"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‘A Europe closer to citizens by fostering the sustainable and integrated development of urban, rural and coastal areas and local initiatives' ('PO 5')</w:t>
            </w:r>
            <w:r w:rsidRPr="36BE81E9">
              <w:rPr>
                <w:rFonts w:ascii="Times New Roman" w:hAnsi="Times New Roman" w:cs="Times New Roman"/>
              </w:rPr>
              <w:t xml:space="preserve"> by: </w:t>
            </w:r>
          </w:p>
          <w:p w14:paraId="39E1C543" w14:textId="77777777" w:rsidR="005739B7" w:rsidRPr="005742F9" w:rsidRDefault="005739B7" w:rsidP="00EC3288">
            <w:pPr>
              <w:jc w:val="both"/>
              <w:rPr>
                <w:rFonts w:ascii="Times New Roman" w:hAnsi="Times New Roman" w:cs="Times New Roman"/>
              </w:rPr>
            </w:pPr>
            <w:r w:rsidRPr="592E4EBE">
              <w:rPr>
                <w:rFonts w:ascii="Times New Roman" w:hAnsi="Times New Roman" w:cs="Times New Roman"/>
              </w:rPr>
              <w:t>(i) fostering the integrated social, economic and environmental development, cultural heritage and security in urban areas;</w:t>
            </w:r>
          </w:p>
          <w:p w14:paraId="25596F30"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(ii) fostering the integrated social, economic and environmental local development, cultural heritage and security, including for rural and coastal areas also through community-led local development. </w:t>
            </w:r>
          </w:p>
          <w:p w14:paraId="730B41BA" w14:textId="77777777" w:rsidR="005739B7" w:rsidRPr="005742F9" w:rsidRDefault="005739B7" w:rsidP="00EC3288">
            <w:pPr>
              <w:jc w:val="both"/>
              <w:rPr>
                <w:rFonts w:ascii="Times New Roman" w:hAnsi="Times New Roman" w:cs="Times New Roman"/>
                <w:szCs w:val="24"/>
              </w:rPr>
            </w:pPr>
          </w:p>
          <w:p w14:paraId="11E56CBE" w14:textId="77777777" w:rsidR="005739B7" w:rsidRPr="005742F9" w:rsidRDefault="005739B7" w:rsidP="00EC3288">
            <w:pPr>
              <w:jc w:val="both"/>
              <w:rPr>
                <w:rFonts w:ascii="Times New Roman" w:hAnsi="Times New Roman" w:cs="Times New Roman"/>
                <w:b/>
                <w:bCs/>
              </w:rPr>
            </w:pPr>
            <w:r w:rsidRPr="36BE81E9">
              <w:rPr>
                <w:rFonts w:ascii="Times New Roman" w:hAnsi="Times New Roman" w:cs="Times New Roman"/>
                <w:b/>
                <w:bCs/>
              </w:rPr>
              <w:t>‘A smarter Europe by promoting innovative and smart economic transformation' ('PO 1') by</w:t>
            </w:r>
          </w:p>
          <w:p w14:paraId="2989655B" w14:textId="77777777" w:rsidR="005739B7" w:rsidRPr="005742F9" w:rsidRDefault="005739B7" w:rsidP="00EC3288">
            <w:pPr>
              <w:jc w:val="both"/>
              <w:rPr>
                <w:rFonts w:ascii="Times New Roman" w:hAnsi="Times New Roman" w:cs="Times New Roman"/>
              </w:rPr>
            </w:pPr>
            <w:r w:rsidRPr="592E4EBE">
              <w:rPr>
                <w:rFonts w:ascii="Times New Roman" w:hAnsi="Times New Roman" w:cs="Times New Roman"/>
              </w:rPr>
              <w:t>(i) enhancing research and innovation capacities and the uptake of advanced technologies</w:t>
            </w:r>
          </w:p>
          <w:p w14:paraId="17020D9B"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(ii) reaping the benefits of digitisation for citizens, companies and governments;</w:t>
            </w:r>
          </w:p>
          <w:p w14:paraId="44D0B9F7"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 (iii) enhancing growth and competitiveness of SMEs; (iv) developing skills for smart specialisation, industrial transition and entrepreneurship</w:t>
            </w:r>
          </w:p>
        </w:tc>
      </w:tr>
      <w:tr w:rsidR="005739B7" w:rsidRPr="005742F9" w14:paraId="0FCF36EF" w14:textId="77777777" w:rsidTr="00EC3288">
        <w:trPr>
          <w:trHeight w:val="416"/>
        </w:trPr>
        <w:tc>
          <w:tcPr>
            <w:tcW w:w="1668" w:type="dxa"/>
          </w:tcPr>
          <w:p w14:paraId="0C2AC9B4" w14:textId="77777777" w:rsidR="005739B7" w:rsidRPr="005742F9" w:rsidRDefault="005739B7" w:rsidP="00EC3288">
            <w:pPr>
              <w:rPr>
                <w:rFonts w:ascii="Times New Roman" w:hAnsi="Times New Roman" w:cs="Times New Roman"/>
              </w:rPr>
            </w:pPr>
            <w:r w:rsidRPr="36BE81E9">
              <w:rPr>
                <w:rFonts w:ascii="Times New Roman" w:hAnsi="Times New Roman" w:cs="Times New Roman"/>
                <w:b/>
                <w:bCs/>
              </w:rPr>
              <w:t>Improved capacity of local and regional</w:t>
            </w:r>
            <w:r>
              <w:rPr>
                <w:rFonts w:ascii="Times New Roman" w:hAnsi="Times New Roman" w:cs="Times New Roman"/>
                <w:b/>
                <w:bCs/>
              </w:rPr>
              <w:t xml:space="preserve"> </w:t>
            </w:r>
            <w:r w:rsidRPr="36BE81E9">
              <w:rPr>
                <w:rFonts w:ascii="Times New Roman" w:hAnsi="Times New Roman" w:cs="Times New Roman"/>
                <w:b/>
                <w:bCs/>
              </w:rPr>
              <w:t>authorities to tackle local challenges</w:t>
            </w:r>
          </w:p>
        </w:tc>
        <w:tc>
          <w:tcPr>
            <w:tcW w:w="3543" w:type="dxa"/>
          </w:tcPr>
          <w:p w14:paraId="6088B96F"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b/>
                <w:bCs/>
              </w:rPr>
              <w:t xml:space="preserve">TP7: promoting local and regional governance: </w:t>
            </w:r>
            <w:r w:rsidRPr="36BE81E9">
              <w:rPr>
                <w:rFonts w:ascii="Times New Roman" w:hAnsi="Times New Roman" w:cs="Times New Roman"/>
              </w:rPr>
              <w:t>by</w:t>
            </w:r>
            <w:r>
              <w:rPr>
                <w:rFonts w:ascii="Times New Roman" w:hAnsi="Times New Roman" w:cs="Times New Roman"/>
              </w:rPr>
              <w:t xml:space="preserve"> </w:t>
            </w:r>
            <w:r w:rsidRPr="36BE81E9">
              <w:rPr>
                <w:rFonts w:ascii="Times New Roman" w:hAnsi="Times New Roman" w:cs="Times New Roman"/>
              </w:rPr>
              <w:t>enhancing the planning and administrative capacity of local and regional authorities;</w:t>
            </w:r>
            <w:r>
              <w:rPr>
                <w:rFonts w:ascii="Times New Roman" w:hAnsi="Times New Roman" w:cs="Times New Roman"/>
              </w:rPr>
              <w:t xml:space="preserve"> </w:t>
            </w:r>
            <w:r w:rsidRPr="36BE81E9">
              <w:rPr>
                <w:rFonts w:ascii="Times New Roman" w:hAnsi="Times New Roman" w:cs="Times New Roman"/>
              </w:rPr>
              <w:t>developing E-Government services, digital trust and security;</w:t>
            </w:r>
            <w:r>
              <w:rPr>
                <w:rFonts w:ascii="Times New Roman" w:hAnsi="Times New Roman" w:cs="Times New Roman"/>
              </w:rPr>
              <w:t xml:space="preserve"> </w:t>
            </w:r>
            <w:r w:rsidRPr="36BE81E9">
              <w:rPr>
                <w:rFonts w:ascii="Times New Roman" w:hAnsi="Times New Roman" w:cs="Times New Roman"/>
              </w:rPr>
              <w:t>capacity building on the management of structural funds (e.g. exchange visits with EU Member States’ local administrations).</w:t>
            </w:r>
          </w:p>
          <w:p w14:paraId="783EB641" w14:textId="77777777" w:rsidR="005739B7" w:rsidRPr="005742F9" w:rsidRDefault="005739B7" w:rsidP="00EC3288">
            <w:pPr>
              <w:ind w:left="360"/>
              <w:rPr>
                <w:rFonts w:ascii="Times New Roman" w:hAnsi="Times New Roman" w:cs="Times New Roman"/>
                <w:szCs w:val="24"/>
              </w:rPr>
            </w:pPr>
          </w:p>
        </w:tc>
        <w:tc>
          <w:tcPr>
            <w:tcW w:w="3969" w:type="dxa"/>
          </w:tcPr>
          <w:p w14:paraId="18E2E123"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Under components 1, 2, and 3, the ERDF and,</w:t>
            </w:r>
            <w:r>
              <w:rPr>
                <w:rFonts w:ascii="Times New Roman" w:hAnsi="Times New Roman" w:cs="Times New Roman"/>
              </w:rPr>
              <w:t xml:space="preserve"> </w:t>
            </w:r>
            <w:r w:rsidRPr="36BE81E9">
              <w:rPr>
                <w:rFonts w:ascii="Times New Roman" w:hAnsi="Times New Roman" w:cs="Times New Roman"/>
              </w:rPr>
              <w:t>where applicable, the external financing instruments of the Union may also support the Interreg-specific objective ‘</w:t>
            </w:r>
            <w:r w:rsidRPr="36BE81E9">
              <w:rPr>
                <w:rFonts w:ascii="Times New Roman" w:hAnsi="Times New Roman" w:cs="Times New Roman"/>
                <w:b/>
                <w:bCs/>
              </w:rPr>
              <w:t>A better Interreg governance</w:t>
            </w:r>
            <w:r w:rsidRPr="36BE81E9">
              <w:rPr>
                <w:rFonts w:ascii="Times New Roman" w:hAnsi="Times New Roman" w:cs="Times New Roman"/>
              </w:rPr>
              <w:t>', in particular by the following actions:</w:t>
            </w:r>
          </w:p>
          <w:p w14:paraId="52E3C991"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 (a) under component 1 and 2B Interreg programmes: </w:t>
            </w:r>
          </w:p>
          <w:p w14:paraId="07B88EF4" w14:textId="77777777" w:rsidR="005739B7" w:rsidRPr="005742F9" w:rsidRDefault="005739B7" w:rsidP="00EC3288">
            <w:pPr>
              <w:jc w:val="both"/>
              <w:rPr>
                <w:rFonts w:ascii="Times New Roman" w:hAnsi="Times New Roman" w:cs="Times New Roman"/>
              </w:rPr>
            </w:pPr>
            <w:r w:rsidRPr="592E4EBE">
              <w:rPr>
                <w:rFonts w:ascii="Times New Roman" w:hAnsi="Times New Roman" w:cs="Times New Roman"/>
              </w:rPr>
              <w:t xml:space="preserve">(i) enhance the institutional capacity of public authorities, in particular those mandated to manage a specific territory, and of stakeholders; </w:t>
            </w:r>
          </w:p>
          <w:p w14:paraId="4E50E0DC" w14:textId="77777777" w:rsidR="005739B7" w:rsidRPr="005742F9" w:rsidRDefault="005739B7" w:rsidP="00EC3288">
            <w:pPr>
              <w:jc w:val="both"/>
              <w:rPr>
                <w:rFonts w:ascii="Times New Roman" w:hAnsi="Times New Roman" w:cs="Times New Roman"/>
              </w:rPr>
            </w:pPr>
            <w:r w:rsidRPr="36BE81E9">
              <w:rPr>
                <w:rFonts w:ascii="Times New Roman" w:hAnsi="Times New Roman" w:cs="Times New Roman"/>
              </w:rPr>
              <w:t xml:space="preserve">(ii) enhance efficient public administration by promoting legal and administrative cooperation and cooperation between citizens and institutions, in particular, with a view to resolving legal and other obstacles in border regions; </w:t>
            </w:r>
          </w:p>
        </w:tc>
      </w:tr>
    </w:tbl>
    <w:p w14:paraId="1B7B2E97" w14:textId="77777777" w:rsidR="005739B7" w:rsidRDefault="005739B7" w:rsidP="005739B7">
      <w:pPr>
        <w:spacing w:before="120" w:after="120" w:line="240" w:lineRule="auto"/>
        <w:jc w:val="both"/>
        <w:rPr>
          <w:rFonts w:ascii="Times New Roman" w:hAnsi="Times New Roman" w:cs="Times New Roman"/>
          <w:b/>
          <w:bCs/>
          <w:sz w:val="24"/>
          <w:szCs w:val="24"/>
        </w:rPr>
      </w:pPr>
    </w:p>
    <w:p w14:paraId="10BB705C" w14:textId="77777777" w:rsidR="005739B7" w:rsidRPr="005742F9" w:rsidRDefault="005739B7" w:rsidP="005739B7">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36BE81E9">
        <w:rPr>
          <w:rFonts w:ascii="Times New Roman" w:hAnsi="Times New Roman" w:cs="Times New Roman"/>
          <w:b/>
          <w:bCs/>
          <w:sz w:val="24"/>
          <w:szCs w:val="24"/>
        </w:rPr>
        <w:t>. Indicators</w:t>
      </w:r>
    </w:p>
    <w:p w14:paraId="01D24315" w14:textId="77777777" w:rsidR="005739B7" w:rsidRPr="00CF295A"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Interreg-IPA CBC, ERDF transnational</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and interregional cooperation programmes will be developed as part of the ETC programming process. Therefore, this section addresses IPA-IPA CBC exclusively. </w:t>
      </w:r>
    </w:p>
    <w:p w14:paraId="7A641EF1" w14:textId="77777777" w:rsidR="005739B7" w:rsidRPr="0039204D" w:rsidRDefault="005739B7" w:rsidP="005739B7">
      <w:pPr>
        <w:keepNext/>
        <w:spacing w:after="120" w:line="240" w:lineRule="auto"/>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Reconciliation, Confidence Building and Good Neighbourly Relations</w:t>
      </w:r>
    </w:p>
    <w:p w14:paraId="6E040B19" w14:textId="77777777" w:rsidR="005739B7" w:rsidRPr="00253046" w:rsidRDefault="005739B7" w:rsidP="00472513">
      <w:pPr>
        <w:numPr>
          <w:ilvl w:val="0"/>
          <w:numId w:val="1"/>
        </w:numPr>
        <w:spacing w:before="120"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 xml:space="preserve"> Number of organisations participating in cross-border networks/partnerships formed (source: Regional Monitoring System)</w:t>
      </w:r>
    </w:p>
    <w:p w14:paraId="2C2A9F1E" w14:textId="4B37DDCF"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Baseline (</w:t>
      </w:r>
      <w:r w:rsidR="006A550A" w:rsidRPr="00537C28">
        <w:rPr>
          <w:rFonts w:ascii="Times New Roman" w:hAnsi="Times New Roman" w:cs="Times New Roman"/>
          <w:sz w:val="24"/>
          <w:szCs w:val="24"/>
        </w:rPr>
        <w:t>20</w:t>
      </w:r>
      <w:r w:rsidR="006A550A">
        <w:rPr>
          <w:rFonts w:ascii="Times New Roman" w:hAnsi="Times New Roman" w:cs="Times New Roman"/>
          <w:sz w:val="24"/>
          <w:szCs w:val="24"/>
        </w:rPr>
        <w:t>21</w:t>
      </w:r>
      <w:r w:rsidR="006A550A">
        <w:rPr>
          <w:rStyle w:val="DipnotBavurusu"/>
          <w:rFonts w:ascii="Times New Roman" w:hAnsi="Times New Roman" w:cs="Times New Roman"/>
          <w:sz w:val="24"/>
          <w:szCs w:val="24"/>
        </w:rPr>
        <w:footnoteReference w:id="44"/>
      </w:r>
      <w:r w:rsidRPr="00537C28">
        <w:rPr>
          <w:rFonts w:ascii="Times New Roman" w:hAnsi="Times New Roman" w:cs="Times New Roman"/>
          <w:sz w:val="24"/>
          <w:szCs w:val="24"/>
        </w:rPr>
        <w:t>): Western Balkans (</w:t>
      </w:r>
      <w:r w:rsidR="006A550A">
        <w:rPr>
          <w:rFonts w:ascii="Times New Roman" w:hAnsi="Times New Roman" w:cs="Times New Roman"/>
          <w:sz w:val="24"/>
          <w:szCs w:val="24"/>
        </w:rPr>
        <w:t>1,085</w:t>
      </w:r>
      <w:r w:rsidRPr="00537C28">
        <w:rPr>
          <w:rFonts w:ascii="Times New Roman" w:hAnsi="Times New Roman" w:cs="Times New Roman"/>
          <w:sz w:val="24"/>
          <w:szCs w:val="24"/>
        </w:rPr>
        <w:t>)</w:t>
      </w:r>
    </w:p>
    <w:p w14:paraId="7A26FE10" w14:textId="307C3282"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Milestone (</w:t>
      </w:r>
      <w:r w:rsidR="006A550A" w:rsidRPr="00537C28">
        <w:rPr>
          <w:rFonts w:ascii="Times New Roman" w:hAnsi="Times New Roman" w:cs="Times New Roman"/>
          <w:sz w:val="24"/>
          <w:szCs w:val="24"/>
        </w:rPr>
        <w:t>202</w:t>
      </w:r>
      <w:r w:rsidR="006A550A">
        <w:rPr>
          <w:rFonts w:ascii="Times New Roman" w:hAnsi="Times New Roman" w:cs="Times New Roman"/>
          <w:sz w:val="24"/>
          <w:szCs w:val="24"/>
        </w:rPr>
        <w:t>5</w:t>
      </w:r>
      <w:r w:rsidRPr="00537C28">
        <w:rPr>
          <w:rFonts w:ascii="Times New Roman" w:hAnsi="Times New Roman" w:cs="Times New Roman"/>
          <w:sz w:val="24"/>
          <w:szCs w:val="24"/>
        </w:rPr>
        <w:t>): Western Balkans (</w:t>
      </w:r>
      <w:r w:rsidR="006A550A">
        <w:rPr>
          <w:rFonts w:ascii="Times New Roman" w:hAnsi="Times New Roman" w:cs="Times New Roman"/>
          <w:sz w:val="24"/>
          <w:szCs w:val="24"/>
        </w:rPr>
        <w:t>1,222</w:t>
      </w:r>
      <w:r w:rsidRPr="00537C28">
        <w:rPr>
          <w:rFonts w:ascii="Times New Roman" w:hAnsi="Times New Roman" w:cs="Times New Roman"/>
          <w:sz w:val="24"/>
          <w:szCs w:val="24"/>
        </w:rPr>
        <w:t>)</w:t>
      </w:r>
    </w:p>
    <w:p w14:paraId="44EDA68C" w14:textId="27AA75ED" w:rsidR="005739B7"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6A550A" w:rsidRPr="36BE81E9">
        <w:rPr>
          <w:rFonts w:ascii="Times New Roman" w:hAnsi="Times New Roman" w:cs="Times New Roman"/>
          <w:sz w:val="24"/>
          <w:szCs w:val="24"/>
        </w:rPr>
        <w:t>1</w:t>
      </w:r>
      <w:r w:rsidR="006A550A">
        <w:rPr>
          <w:rFonts w:ascii="Times New Roman" w:hAnsi="Times New Roman" w:cs="Times New Roman"/>
          <w:sz w:val="24"/>
          <w:szCs w:val="24"/>
        </w:rPr>
        <w:t>,</w:t>
      </w:r>
      <w:r w:rsidR="006A550A" w:rsidRPr="36BE81E9">
        <w:rPr>
          <w:rFonts w:ascii="Times New Roman" w:hAnsi="Times New Roman" w:cs="Times New Roman"/>
          <w:sz w:val="24"/>
          <w:szCs w:val="24"/>
        </w:rPr>
        <w:t>50</w:t>
      </w:r>
      <w:r w:rsidR="006A550A">
        <w:rPr>
          <w:rFonts w:ascii="Times New Roman" w:hAnsi="Times New Roman" w:cs="Times New Roman"/>
          <w:sz w:val="24"/>
          <w:szCs w:val="24"/>
        </w:rPr>
        <w:t>8</w:t>
      </w:r>
      <w:r w:rsidRPr="36BE81E9">
        <w:rPr>
          <w:rFonts w:ascii="Times New Roman" w:hAnsi="Times New Roman" w:cs="Times New Roman"/>
          <w:sz w:val="24"/>
          <w:szCs w:val="24"/>
        </w:rPr>
        <w:t>)</w:t>
      </w:r>
    </w:p>
    <w:p w14:paraId="6C1B10B7" w14:textId="77777777" w:rsidR="005739B7" w:rsidRPr="00566C95" w:rsidRDefault="005739B7" w:rsidP="00472513">
      <w:pPr>
        <w:numPr>
          <w:ilvl w:val="0"/>
          <w:numId w:val="1"/>
        </w:numPr>
        <w:spacing w:before="120"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Number of organisations directly involved in the implementation of the projects (source: Regional Monitoring System)</w:t>
      </w:r>
    </w:p>
    <w:p w14:paraId="655D1DBC" w14:textId="6FA2678F"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Baseline (</w:t>
      </w:r>
      <w:r w:rsidR="006A550A" w:rsidRPr="00537C28">
        <w:rPr>
          <w:rFonts w:ascii="Times New Roman" w:hAnsi="Times New Roman" w:cs="Times New Roman"/>
          <w:sz w:val="24"/>
          <w:szCs w:val="24"/>
        </w:rPr>
        <w:t>20</w:t>
      </w:r>
      <w:r w:rsidR="006A550A">
        <w:rPr>
          <w:rFonts w:ascii="Times New Roman" w:hAnsi="Times New Roman" w:cs="Times New Roman"/>
          <w:sz w:val="24"/>
          <w:szCs w:val="24"/>
        </w:rPr>
        <w:t>21</w:t>
      </w:r>
      <w:r w:rsidR="006A550A">
        <w:rPr>
          <w:rStyle w:val="DipnotBavurusu"/>
          <w:rFonts w:ascii="Times New Roman" w:hAnsi="Times New Roman" w:cs="Times New Roman"/>
          <w:sz w:val="24"/>
          <w:szCs w:val="24"/>
        </w:rPr>
        <w:footnoteReference w:id="45"/>
      </w:r>
      <w:r w:rsidRPr="00537C28">
        <w:rPr>
          <w:rFonts w:ascii="Times New Roman" w:hAnsi="Times New Roman" w:cs="Times New Roman"/>
          <w:sz w:val="24"/>
          <w:szCs w:val="24"/>
        </w:rPr>
        <w:t>): Western Balkans (</w:t>
      </w:r>
      <w:r w:rsidR="006A550A">
        <w:rPr>
          <w:rFonts w:ascii="Times New Roman" w:hAnsi="Times New Roman" w:cs="Times New Roman"/>
          <w:sz w:val="24"/>
          <w:szCs w:val="24"/>
        </w:rPr>
        <w:t>2,046</w:t>
      </w:r>
      <w:r w:rsidRPr="00537C28">
        <w:rPr>
          <w:rFonts w:ascii="Times New Roman" w:hAnsi="Times New Roman" w:cs="Times New Roman"/>
          <w:sz w:val="24"/>
          <w:szCs w:val="24"/>
        </w:rPr>
        <w:t>)</w:t>
      </w:r>
    </w:p>
    <w:p w14:paraId="404AACCF" w14:textId="759F3FB5"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Milestone (</w:t>
      </w:r>
      <w:r w:rsidR="006A550A" w:rsidRPr="00537C28">
        <w:rPr>
          <w:rFonts w:ascii="Times New Roman" w:hAnsi="Times New Roman" w:cs="Times New Roman"/>
          <w:sz w:val="24"/>
          <w:szCs w:val="24"/>
        </w:rPr>
        <w:t>202</w:t>
      </w:r>
      <w:r w:rsidR="006A550A">
        <w:rPr>
          <w:rFonts w:ascii="Times New Roman" w:hAnsi="Times New Roman" w:cs="Times New Roman"/>
          <w:sz w:val="24"/>
          <w:szCs w:val="24"/>
        </w:rPr>
        <w:t>5</w:t>
      </w:r>
      <w:r w:rsidRPr="00537C28">
        <w:rPr>
          <w:rFonts w:ascii="Times New Roman" w:hAnsi="Times New Roman" w:cs="Times New Roman"/>
          <w:sz w:val="24"/>
          <w:szCs w:val="24"/>
        </w:rPr>
        <w:t>): Western Balkans (2,</w:t>
      </w:r>
      <w:r w:rsidR="006A550A">
        <w:rPr>
          <w:rFonts w:ascii="Times New Roman" w:hAnsi="Times New Roman" w:cs="Times New Roman"/>
          <w:sz w:val="24"/>
          <w:szCs w:val="24"/>
        </w:rPr>
        <w:t>206</w:t>
      </w:r>
      <w:r w:rsidRPr="00537C28">
        <w:rPr>
          <w:rFonts w:ascii="Times New Roman" w:hAnsi="Times New Roman" w:cs="Times New Roman"/>
          <w:sz w:val="24"/>
          <w:szCs w:val="24"/>
        </w:rPr>
        <w:t>)</w:t>
      </w:r>
    </w:p>
    <w:p w14:paraId="0BD4502D" w14:textId="795BF0E5" w:rsidR="005739B7"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6A550A" w:rsidRPr="006A550A">
        <w:rPr>
          <w:rFonts w:ascii="Times New Roman" w:hAnsi="Times New Roman" w:cs="Times New Roman"/>
          <w:sz w:val="24"/>
          <w:szCs w:val="24"/>
        </w:rPr>
        <w:t>2,769</w:t>
      </w:r>
      <w:r w:rsidRPr="36BE81E9">
        <w:rPr>
          <w:rFonts w:ascii="Times New Roman" w:hAnsi="Times New Roman" w:cs="Times New Roman"/>
          <w:sz w:val="24"/>
          <w:szCs w:val="24"/>
        </w:rPr>
        <w:t>)</w:t>
      </w:r>
    </w:p>
    <w:p w14:paraId="6B14930E" w14:textId="77777777" w:rsidR="005739B7" w:rsidRPr="0039204D" w:rsidRDefault="005739B7" w:rsidP="005739B7">
      <w:pPr>
        <w:spacing w:after="120" w:line="240" w:lineRule="auto"/>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Economic, Social and Territorial Development of Border Areas</w:t>
      </w:r>
    </w:p>
    <w:p w14:paraId="0F5A6F95" w14:textId="77777777" w:rsidR="005739B7" w:rsidRPr="00253046" w:rsidRDefault="005739B7" w:rsidP="00472513">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Number of new jobs resulting from programme activities (source: Regional Monitoring System)</w:t>
      </w:r>
    </w:p>
    <w:p w14:paraId="1B776566" w14:textId="3AC8D067"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Baseline (</w:t>
      </w:r>
      <w:r w:rsidR="006A550A" w:rsidRPr="00537C28">
        <w:rPr>
          <w:rFonts w:ascii="Times New Roman" w:hAnsi="Times New Roman" w:cs="Times New Roman"/>
          <w:sz w:val="24"/>
          <w:szCs w:val="24"/>
        </w:rPr>
        <w:t>20</w:t>
      </w:r>
      <w:r w:rsidR="006A550A">
        <w:rPr>
          <w:rFonts w:ascii="Times New Roman" w:hAnsi="Times New Roman" w:cs="Times New Roman"/>
          <w:sz w:val="24"/>
          <w:szCs w:val="24"/>
        </w:rPr>
        <w:t>21</w:t>
      </w:r>
      <w:r w:rsidR="006A550A">
        <w:rPr>
          <w:rStyle w:val="DipnotBavurusu"/>
          <w:rFonts w:ascii="Times New Roman" w:hAnsi="Times New Roman" w:cs="Times New Roman"/>
          <w:sz w:val="24"/>
          <w:szCs w:val="24"/>
        </w:rPr>
        <w:footnoteReference w:id="46"/>
      </w:r>
      <w:r w:rsidRPr="00537C28">
        <w:rPr>
          <w:rFonts w:ascii="Times New Roman" w:hAnsi="Times New Roman" w:cs="Times New Roman"/>
          <w:sz w:val="24"/>
          <w:szCs w:val="24"/>
        </w:rPr>
        <w:t>): Western Balkans (</w:t>
      </w:r>
      <w:r w:rsidR="006A550A">
        <w:rPr>
          <w:rFonts w:ascii="Times New Roman" w:hAnsi="Times New Roman" w:cs="Times New Roman"/>
          <w:sz w:val="24"/>
          <w:szCs w:val="24"/>
        </w:rPr>
        <w:t>519</w:t>
      </w:r>
      <w:r w:rsidRPr="00537C28">
        <w:rPr>
          <w:rFonts w:ascii="Times New Roman" w:hAnsi="Times New Roman" w:cs="Times New Roman"/>
          <w:sz w:val="24"/>
          <w:szCs w:val="24"/>
        </w:rPr>
        <w:t>)</w:t>
      </w:r>
    </w:p>
    <w:p w14:paraId="4E79AB5B" w14:textId="42379616"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Milestone (</w:t>
      </w:r>
      <w:r w:rsidR="006A550A" w:rsidRPr="00537C28">
        <w:rPr>
          <w:rFonts w:ascii="Times New Roman" w:hAnsi="Times New Roman" w:cs="Times New Roman"/>
          <w:sz w:val="24"/>
          <w:szCs w:val="24"/>
        </w:rPr>
        <w:t>202</w:t>
      </w:r>
      <w:r w:rsidR="006A550A">
        <w:rPr>
          <w:rFonts w:ascii="Times New Roman" w:hAnsi="Times New Roman" w:cs="Times New Roman"/>
          <w:sz w:val="24"/>
          <w:szCs w:val="24"/>
        </w:rPr>
        <w:t>5</w:t>
      </w:r>
      <w:r w:rsidRPr="00537C28">
        <w:rPr>
          <w:rFonts w:ascii="Times New Roman" w:hAnsi="Times New Roman" w:cs="Times New Roman"/>
          <w:sz w:val="24"/>
          <w:szCs w:val="24"/>
        </w:rPr>
        <w:t>): Western Balkans (</w:t>
      </w:r>
      <w:r w:rsidR="006A550A">
        <w:rPr>
          <w:rFonts w:ascii="Times New Roman" w:hAnsi="Times New Roman" w:cs="Times New Roman"/>
          <w:sz w:val="24"/>
          <w:szCs w:val="24"/>
        </w:rPr>
        <w:t>543</w:t>
      </w:r>
      <w:r w:rsidRPr="00537C28">
        <w:rPr>
          <w:rFonts w:ascii="Times New Roman" w:hAnsi="Times New Roman" w:cs="Times New Roman"/>
          <w:sz w:val="24"/>
          <w:szCs w:val="24"/>
        </w:rPr>
        <w:t>)</w:t>
      </w:r>
    </w:p>
    <w:p w14:paraId="2CAFAFD4" w14:textId="6985A04F" w:rsidR="005739B7"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6A550A">
        <w:rPr>
          <w:rFonts w:ascii="Times New Roman" w:hAnsi="Times New Roman" w:cs="Times New Roman"/>
          <w:sz w:val="24"/>
          <w:szCs w:val="24"/>
        </w:rPr>
        <w:t>684</w:t>
      </w:r>
      <w:r w:rsidRPr="36BE81E9">
        <w:rPr>
          <w:rFonts w:ascii="Times New Roman" w:hAnsi="Times New Roman" w:cs="Times New Roman"/>
          <w:sz w:val="24"/>
          <w:szCs w:val="24"/>
        </w:rPr>
        <w:t>)</w:t>
      </w:r>
    </w:p>
    <w:p w14:paraId="6AF935D3" w14:textId="2072D197" w:rsidR="005739B7" w:rsidRPr="00253046" w:rsidRDefault="005739B7" w:rsidP="00472513">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Number of new businesses established (source: Regional Monitoring System)</w:t>
      </w:r>
      <w:r w:rsidR="00120418">
        <w:rPr>
          <w:rStyle w:val="DipnotBavurusu"/>
          <w:rFonts w:ascii="Times New Roman" w:hAnsi="Times New Roman" w:cs="Times New Roman"/>
          <w:sz w:val="24"/>
          <w:szCs w:val="24"/>
        </w:rPr>
        <w:footnoteReference w:id="47"/>
      </w:r>
    </w:p>
    <w:p w14:paraId="7592C960" w14:textId="7FB3FF3F"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Baseline (</w:t>
      </w:r>
      <w:r w:rsidR="006A550A" w:rsidRPr="00537C28">
        <w:rPr>
          <w:rFonts w:ascii="Times New Roman" w:hAnsi="Times New Roman" w:cs="Times New Roman"/>
          <w:sz w:val="24"/>
          <w:szCs w:val="24"/>
        </w:rPr>
        <w:t>20</w:t>
      </w:r>
      <w:r w:rsidR="006A550A">
        <w:rPr>
          <w:rFonts w:ascii="Times New Roman" w:hAnsi="Times New Roman" w:cs="Times New Roman"/>
          <w:sz w:val="24"/>
          <w:szCs w:val="24"/>
        </w:rPr>
        <w:t>21</w:t>
      </w:r>
      <w:r w:rsidR="006A550A">
        <w:rPr>
          <w:rStyle w:val="DipnotBavurusu"/>
          <w:rFonts w:ascii="Times New Roman" w:hAnsi="Times New Roman" w:cs="Times New Roman"/>
          <w:sz w:val="24"/>
          <w:szCs w:val="24"/>
        </w:rPr>
        <w:footnoteReference w:id="48"/>
      </w:r>
      <w:r w:rsidRPr="00537C28">
        <w:rPr>
          <w:rFonts w:ascii="Times New Roman" w:hAnsi="Times New Roman" w:cs="Times New Roman"/>
          <w:sz w:val="24"/>
          <w:szCs w:val="24"/>
        </w:rPr>
        <w:t>): Western Balkans (</w:t>
      </w:r>
      <w:r w:rsidR="006A550A">
        <w:rPr>
          <w:rFonts w:ascii="Times New Roman" w:hAnsi="Times New Roman" w:cs="Times New Roman"/>
          <w:sz w:val="24"/>
          <w:szCs w:val="24"/>
        </w:rPr>
        <w:t>249</w:t>
      </w:r>
      <w:r w:rsidRPr="00537C28">
        <w:rPr>
          <w:rFonts w:ascii="Times New Roman" w:hAnsi="Times New Roman" w:cs="Times New Roman"/>
          <w:sz w:val="24"/>
          <w:szCs w:val="24"/>
        </w:rPr>
        <w:t>)</w:t>
      </w:r>
    </w:p>
    <w:p w14:paraId="1B444D1B" w14:textId="30F23853"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Milestone (</w:t>
      </w:r>
      <w:r w:rsidR="006A550A" w:rsidRPr="00537C28">
        <w:rPr>
          <w:rFonts w:ascii="Times New Roman" w:hAnsi="Times New Roman" w:cs="Times New Roman"/>
          <w:sz w:val="24"/>
          <w:szCs w:val="24"/>
        </w:rPr>
        <w:t>202</w:t>
      </w:r>
      <w:r w:rsidR="006A550A">
        <w:rPr>
          <w:rFonts w:ascii="Times New Roman" w:hAnsi="Times New Roman" w:cs="Times New Roman"/>
          <w:sz w:val="24"/>
          <w:szCs w:val="24"/>
        </w:rPr>
        <w:t>5</w:t>
      </w:r>
      <w:r w:rsidRPr="00537C28">
        <w:rPr>
          <w:rFonts w:ascii="Times New Roman" w:hAnsi="Times New Roman" w:cs="Times New Roman"/>
          <w:sz w:val="24"/>
          <w:szCs w:val="24"/>
        </w:rPr>
        <w:t>): Western Balkans (</w:t>
      </w:r>
      <w:r w:rsidR="006A550A">
        <w:rPr>
          <w:rFonts w:ascii="Times New Roman" w:hAnsi="Times New Roman" w:cs="Times New Roman"/>
          <w:sz w:val="24"/>
          <w:szCs w:val="24"/>
        </w:rPr>
        <w:t>262</w:t>
      </w:r>
      <w:r w:rsidRPr="00537C28">
        <w:rPr>
          <w:rFonts w:ascii="Times New Roman" w:hAnsi="Times New Roman" w:cs="Times New Roman"/>
          <w:sz w:val="24"/>
          <w:szCs w:val="24"/>
        </w:rPr>
        <w:t>)</w:t>
      </w:r>
    </w:p>
    <w:p w14:paraId="264EC792" w14:textId="5767A477" w:rsidR="005739B7" w:rsidRPr="00253046"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6A550A">
        <w:rPr>
          <w:rFonts w:ascii="Times New Roman" w:hAnsi="Times New Roman" w:cs="Times New Roman"/>
          <w:sz w:val="24"/>
          <w:szCs w:val="24"/>
        </w:rPr>
        <w:t>387</w:t>
      </w:r>
      <w:r w:rsidRPr="36BE81E9">
        <w:rPr>
          <w:rFonts w:ascii="Times New Roman" w:hAnsi="Times New Roman" w:cs="Times New Roman"/>
          <w:sz w:val="24"/>
          <w:szCs w:val="24"/>
        </w:rPr>
        <w:t>)</w:t>
      </w:r>
    </w:p>
    <w:p w14:paraId="374AFFCF" w14:textId="77777777" w:rsidR="005739B7" w:rsidRPr="0039204D" w:rsidRDefault="005739B7" w:rsidP="00E30006">
      <w:pPr>
        <w:keepNext/>
        <w:spacing w:after="120" w:line="240" w:lineRule="auto"/>
        <w:rPr>
          <w:rFonts w:ascii="Times New Roman Italic" w:hAnsi="Times New Roman Italic" w:cs="Times New Roman"/>
          <w:i/>
          <w:iCs/>
          <w:sz w:val="24"/>
          <w:szCs w:val="24"/>
        </w:rPr>
      </w:pPr>
      <w:r w:rsidRPr="36BE81E9">
        <w:rPr>
          <w:rFonts w:ascii="Times New Roman Italic" w:hAnsi="Times New Roman Italic" w:cs="Times New Roman"/>
          <w:i/>
          <w:iCs/>
          <w:sz w:val="24"/>
          <w:szCs w:val="24"/>
        </w:rPr>
        <w:t>Capacity Building of Institutions at all Levels</w:t>
      </w:r>
    </w:p>
    <w:p w14:paraId="534484E2" w14:textId="77777777" w:rsidR="005739B7" w:rsidRDefault="005739B7" w:rsidP="00472513">
      <w:pPr>
        <w:numPr>
          <w:ilvl w:val="0"/>
          <w:numId w:val="1"/>
        </w:num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Number of organisations/institutions with increased capacities (source: Regional monitoring system)</w:t>
      </w:r>
    </w:p>
    <w:p w14:paraId="06AAC665" w14:textId="0260E9B3"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Baseline (</w:t>
      </w:r>
      <w:r w:rsidR="006A550A" w:rsidRPr="00537C28">
        <w:rPr>
          <w:rFonts w:ascii="Times New Roman" w:hAnsi="Times New Roman" w:cs="Times New Roman"/>
          <w:sz w:val="24"/>
          <w:szCs w:val="24"/>
        </w:rPr>
        <w:t>20</w:t>
      </w:r>
      <w:r w:rsidR="006A550A">
        <w:rPr>
          <w:rFonts w:ascii="Times New Roman" w:hAnsi="Times New Roman" w:cs="Times New Roman"/>
          <w:sz w:val="24"/>
          <w:szCs w:val="24"/>
        </w:rPr>
        <w:t>21</w:t>
      </w:r>
      <w:r w:rsidR="006A550A">
        <w:rPr>
          <w:rStyle w:val="DipnotBavurusu"/>
          <w:rFonts w:ascii="Times New Roman" w:hAnsi="Times New Roman" w:cs="Times New Roman"/>
          <w:sz w:val="24"/>
          <w:szCs w:val="24"/>
        </w:rPr>
        <w:footnoteReference w:id="49"/>
      </w:r>
      <w:r w:rsidRPr="00537C28">
        <w:rPr>
          <w:rFonts w:ascii="Times New Roman" w:hAnsi="Times New Roman" w:cs="Times New Roman"/>
          <w:sz w:val="24"/>
          <w:szCs w:val="24"/>
        </w:rPr>
        <w:t>): Western Balkans (</w:t>
      </w:r>
      <w:r w:rsidR="006A550A">
        <w:rPr>
          <w:rFonts w:ascii="Times New Roman" w:hAnsi="Times New Roman" w:cs="Times New Roman"/>
          <w:sz w:val="24"/>
          <w:szCs w:val="24"/>
        </w:rPr>
        <w:t>302</w:t>
      </w:r>
      <w:r w:rsidRPr="00537C28">
        <w:rPr>
          <w:rFonts w:ascii="Times New Roman" w:hAnsi="Times New Roman" w:cs="Times New Roman"/>
          <w:sz w:val="24"/>
          <w:szCs w:val="24"/>
        </w:rPr>
        <w:t>)</w:t>
      </w:r>
    </w:p>
    <w:p w14:paraId="6089C092" w14:textId="1798843F" w:rsidR="005739B7" w:rsidRPr="00537C28" w:rsidRDefault="005739B7" w:rsidP="005739B7">
      <w:pPr>
        <w:pStyle w:val="ListeParagraf"/>
        <w:spacing w:after="120" w:line="240" w:lineRule="auto"/>
        <w:jc w:val="both"/>
        <w:rPr>
          <w:rFonts w:ascii="Times New Roman" w:hAnsi="Times New Roman" w:cs="Times New Roman"/>
          <w:sz w:val="24"/>
          <w:szCs w:val="24"/>
        </w:rPr>
      </w:pPr>
      <w:r w:rsidRPr="00537C28">
        <w:rPr>
          <w:rFonts w:ascii="Times New Roman" w:hAnsi="Times New Roman" w:cs="Times New Roman"/>
          <w:sz w:val="24"/>
          <w:szCs w:val="24"/>
        </w:rPr>
        <w:t>Milestone (</w:t>
      </w:r>
      <w:r w:rsidR="006A550A" w:rsidRPr="00537C28">
        <w:rPr>
          <w:rFonts w:ascii="Times New Roman" w:hAnsi="Times New Roman" w:cs="Times New Roman"/>
          <w:sz w:val="24"/>
          <w:szCs w:val="24"/>
        </w:rPr>
        <w:t>202</w:t>
      </w:r>
      <w:r w:rsidR="006A550A">
        <w:rPr>
          <w:rFonts w:ascii="Times New Roman" w:hAnsi="Times New Roman" w:cs="Times New Roman"/>
          <w:sz w:val="24"/>
          <w:szCs w:val="24"/>
        </w:rPr>
        <w:t>5</w:t>
      </w:r>
      <w:r w:rsidRPr="00537C28">
        <w:rPr>
          <w:rFonts w:ascii="Times New Roman" w:hAnsi="Times New Roman" w:cs="Times New Roman"/>
          <w:sz w:val="24"/>
          <w:szCs w:val="24"/>
        </w:rPr>
        <w:t>): Western Balkans (</w:t>
      </w:r>
      <w:r w:rsidR="006A550A">
        <w:rPr>
          <w:rFonts w:ascii="Times New Roman" w:hAnsi="Times New Roman" w:cs="Times New Roman"/>
          <w:sz w:val="24"/>
          <w:szCs w:val="24"/>
        </w:rPr>
        <w:t>343</w:t>
      </w:r>
      <w:r w:rsidRPr="00537C28">
        <w:rPr>
          <w:rFonts w:ascii="Times New Roman" w:hAnsi="Times New Roman" w:cs="Times New Roman"/>
          <w:sz w:val="24"/>
          <w:szCs w:val="24"/>
        </w:rPr>
        <w:t>)</w:t>
      </w:r>
    </w:p>
    <w:p w14:paraId="1FAD7D81" w14:textId="51162C11" w:rsidR="005739B7" w:rsidRPr="00253046" w:rsidRDefault="005739B7" w:rsidP="005739B7">
      <w:pPr>
        <w:pStyle w:val="ListeParagraf"/>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Target (2027): Western Balkans (</w:t>
      </w:r>
      <w:r w:rsidR="006A550A" w:rsidRPr="36BE81E9">
        <w:rPr>
          <w:rFonts w:ascii="Times New Roman" w:hAnsi="Times New Roman" w:cs="Times New Roman"/>
          <w:sz w:val="24"/>
          <w:szCs w:val="24"/>
        </w:rPr>
        <w:t>4</w:t>
      </w:r>
      <w:r w:rsidR="006A550A">
        <w:rPr>
          <w:rFonts w:ascii="Times New Roman" w:hAnsi="Times New Roman" w:cs="Times New Roman"/>
          <w:sz w:val="24"/>
          <w:szCs w:val="24"/>
        </w:rPr>
        <w:t>58</w:t>
      </w:r>
      <w:r w:rsidRPr="36BE81E9">
        <w:rPr>
          <w:rFonts w:ascii="Times New Roman" w:hAnsi="Times New Roman" w:cs="Times New Roman"/>
          <w:sz w:val="24"/>
          <w:szCs w:val="24"/>
        </w:rPr>
        <w:t>)</w:t>
      </w:r>
    </w:p>
    <w:p w14:paraId="5DB476E2"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Each IPA CBC programme will also define indicators for each specific objective under the selected thematic priorities.</w:t>
      </w:r>
    </w:p>
    <w:p w14:paraId="6F419EB4" w14:textId="77777777" w:rsidR="005739B7" w:rsidRDefault="005739B7" w:rsidP="005739B7">
      <w:pPr>
        <w:spacing w:before="120" w:after="120" w:line="240" w:lineRule="auto"/>
        <w:jc w:val="both"/>
        <w:rPr>
          <w:rFonts w:ascii="Times New Roman" w:hAnsi="Times New Roman" w:cs="Times New Roman"/>
          <w:b/>
          <w:bCs/>
          <w:sz w:val="24"/>
          <w:szCs w:val="24"/>
        </w:rPr>
      </w:pPr>
    </w:p>
    <w:p w14:paraId="43726117" w14:textId="77777777" w:rsidR="005739B7" w:rsidRPr="005742F9" w:rsidRDefault="005739B7" w:rsidP="00A67C54">
      <w:pPr>
        <w:keepNext/>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36BE81E9">
        <w:rPr>
          <w:rFonts w:ascii="Times New Roman" w:hAnsi="Times New Roman" w:cs="Times New Roman"/>
          <w:b/>
          <w:bCs/>
          <w:sz w:val="24"/>
          <w:szCs w:val="24"/>
        </w:rPr>
        <w:t>. Preferred types of financing and implementation methods</w:t>
      </w:r>
      <w:r>
        <w:rPr>
          <w:rFonts w:ascii="Times New Roman" w:hAnsi="Times New Roman" w:cs="Times New Roman"/>
          <w:b/>
          <w:bCs/>
          <w:sz w:val="24"/>
          <w:szCs w:val="24"/>
        </w:rPr>
        <w:t xml:space="preserve"> </w:t>
      </w:r>
    </w:p>
    <w:p w14:paraId="16039962" w14:textId="77777777" w:rsidR="005739B7" w:rsidRPr="005742F9"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The Interreg-IPA CBC, ERDF transnational</w:t>
      </w:r>
      <w:r>
        <w:rPr>
          <w:rFonts w:ascii="Times New Roman" w:hAnsi="Times New Roman" w:cs="Times New Roman"/>
          <w:sz w:val="24"/>
          <w:szCs w:val="24"/>
        </w:rPr>
        <w:t xml:space="preserve"> </w:t>
      </w:r>
      <w:r w:rsidRPr="36BE81E9">
        <w:rPr>
          <w:rFonts w:ascii="Times New Roman" w:hAnsi="Times New Roman" w:cs="Times New Roman"/>
          <w:sz w:val="24"/>
          <w:szCs w:val="24"/>
        </w:rPr>
        <w:t xml:space="preserve">and interregional cooperation programmes will be developed as part of the ETC programming process. Therefore, this section addresses IPA-IPA CBC exclusively. </w:t>
      </w:r>
    </w:p>
    <w:p w14:paraId="231FF8E7" w14:textId="77777777" w:rsidR="005739B7" w:rsidRPr="005742F9" w:rsidRDefault="005739B7" w:rsidP="005739B7">
      <w:pPr>
        <w:spacing w:before="120" w:after="120" w:line="240" w:lineRule="auto"/>
        <w:jc w:val="both"/>
        <w:rPr>
          <w:rFonts w:ascii="Times New Roman" w:hAnsi="Times New Roman" w:cs="Times New Roman"/>
          <w:b/>
          <w:bCs/>
          <w:sz w:val="24"/>
          <w:szCs w:val="24"/>
        </w:rPr>
      </w:pPr>
      <w:r w:rsidRPr="36BE81E9">
        <w:rPr>
          <w:rFonts w:ascii="Times New Roman" w:hAnsi="Times New Roman" w:cs="Times New Roman"/>
          <w:b/>
          <w:bCs/>
          <w:sz w:val="24"/>
          <w:szCs w:val="24"/>
        </w:rPr>
        <w:t>Types of financing</w:t>
      </w:r>
    </w:p>
    <w:p w14:paraId="1C9C8784" w14:textId="77777777" w:rsidR="005739B7" w:rsidRPr="0039204D" w:rsidRDefault="005739B7" w:rsidP="005739B7">
      <w:pPr>
        <w:spacing w:after="120" w:line="240" w:lineRule="auto"/>
        <w:jc w:val="both"/>
        <w:rPr>
          <w:rFonts w:ascii="Times New Roman" w:hAnsi="Times New Roman" w:cs="Times New Roman"/>
          <w:sz w:val="24"/>
          <w:szCs w:val="24"/>
        </w:rPr>
      </w:pPr>
      <w:r w:rsidRPr="36BE81E9">
        <w:rPr>
          <w:rFonts w:ascii="Times New Roman" w:hAnsi="Times New Roman" w:cs="Times New Roman"/>
          <w:sz w:val="24"/>
          <w:szCs w:val="24"/>
        </w:rPr>
        <w:t>Support to cross border cooperation will be provided through specific seven years CBC programmes prepared jointly by at least two IPA beneficiaries participating in the programme. The CBC programmes define the cooperation strategy for the specific border region for the seven years and include, among others, the eligible territory and the thematic priorities selected by the IPA beneficiaries following an analysis of the needs of the programme area and extensive consultation with local stakeholders including local authorities and the Commission. They need to highlight the link between the objectives of the programmes and the national regional development strategies in place in each of the participating beneficiaries and with the macro regional strategies. These CBC programmes are implemented through calls for proposal, strategic projects and technical assistance:</w:t>
      </w:r>
    </w:p>
    <w:p w14:paraId="3C07A560" w14:textId="77777777" w:rsidR="005739B7" w:rsidRPr="005742F9" w:rsidRDefault="005739B7" w:rsidP="005739B7">
      <w:pPr>
        <w:spacing w:before="120" w:after="120" w:line="240" w:lineRule="auto"/>
        <w:jc w:val="both"/>
        <w:rPr>
          <w:rFonts w:ascii="Times New Roman" w:hAnsi="Times New Roman" w:cs="Times New Roman"/>
          <w:sz w:val="24"/>
          <w:szCs w:val="24"/>
        </w:rPr>
      </w:pPr>
      <w:r w:rsidRPr="005742F9">
        <w:rPr>
          <w:rFonts w:ascii="Times New Roman" w:hAnsi="Times New Roman" w:cs="Times New Roman"/>
          <w:b/>
          <w:bCs/>
          <w:i/>
          <w:iCs/>
          <w:sz w:val="24"/>
          <w:szCs w:val="24"/>
        </w:rPr>
        <w:t>Calls for proposals</w:t>
      </w:r>
      <w:r w:rsidRPr="005742F9">
        <w:rPr>
          <w:rFonts w:ascii="Times New Roman" w:hAnsi="Times New Roman" w:cs="Times New Roman"/>
          <w:b/>
          <w:bCs/>
          <w:sz w:val="24"/>
          <w:szCs w:val="24"/>
        </w:rPr>
        <w:t xml:space="preserve">: </w:t>
      </w:r>
      <w:r w:rsidRPr="005742F9">
        <w:rPr>
          <w:rFonts w:ascii="Times New Roman" w:hAnsi="Times New Roman" w:cs="Times New Roman"/>
          <w:sz w:val="24"/>
          <w:szCs w:val="24"/>
        </w:rPr>
        <w:t>The preferred tools for selecting operations for funding under CBC programmes are call for proposals. In view of achieving increased thematic focus for greater impact at local level and in order to be able to demonstrate results, the calls for proposals should target specific themes, size of projects and/or recipients.</w:t>
      </w:r>
      <w:r>
        <w:rPr>
          <w:rFonts w:ascii="Times New Roman" w:hAnsi="Times New Roman" w:cs="Times New Roman"/>
          <w:sz w:val="24"/>
          <w:szCs w:val="24"/>
        </w:rPr>
        <w:t xml:space="preserve"> </w:t>
      </w:r>
      <w:r w:rsidRPr="005742F9">
        <w:rPr>
          <w:rFonts w:ascii="Times New Roman" w:hAnsi="Times New Roman" w:cs="Times New Roman"/>
          <w:sz w:val="24"/>
          <w:szCs w:val="24"/>
        </w:rPr>
        <w:t>Information campaigns prior to the launching of calls will be key to ensure local visibility and genuine bottom-up approach. Calls for proposals should foster the participation of local authorities and provide for genuine bottom-up involvement and partnerships between the public, private and community sectors to create an environment conducive to sustainable socio-economic development and/or reconciliation.</w:t>
      </w:r>
    </w:p>
    <w:p w14:paraId="0C60263A" w14:textId="77777777" w:rsidR="005739B7" w:rsidRPr="005742F9" w:rsidRDefault="005739B7" w:rsidP="005739B7">
      <w:pPr>
        <w:spacing w:before="120"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In all cases, the projects shall deliver clear cross-border impacts and benefits, i.e. ‘simple’ projects (implemented on one side of the border and impacting the other side) should be avoided unless they are the only way to reach the intended objective and their added value is clear. CBC projects shall involve at least one beneficiary from each of the participating IPA beneficiaries. </w:t>
      </w:r>
    </w:p>
    <w:p w14:paraId="5FA72415" w14:textId="77777777" w:rsidR="005739B7" w:rsidRPr="005742F9" w:rsidRDefault="005739B7" w:rsidP="005739B7">
      <w:pPr>
        <w:spacing w:before="120" w:after="120" w:line="240" w:lineRule="auto"/>
        <w:jc w:val="both"/>
        <w:rPr>
          <w:rFonts w:ascii="Times New Roman" w:hAnsi="Times New Roman" w:cs="Times New Roman"/>
          <w:sz w:val="24"/>
          <w:szCs w:val="24"/>
        </w:rPr>
      </w:pPr>
      <w:r w:rsidRPr="005742F9">
        <w:rPr>
          <w:rFonts w:ascii="Times New Roman" w:hAnsi="Times New Roman" w:cs="Times New Roman"/>
          <w:b/>
          <w:bCs/>
          <w:i/>
          <w:iCs/>
          <w:sz w:val="24"/>
          <w:szCs w:val="24"/>
        </w:rPr>
        <w:t xml:space="preserve">Strategic projects. </w:t>
      </w:r>
      <w:r w:rsidRPr="005742F9">
        <w:rPr>
          <w:rFonts w:ascii="Times New Roman" w:hAnsi="Times New Roman" w:cs="Times New Roman"/>
          <w:sz w:val="24"/>
          <w:szCs w:val="24"/>
        </w:rPr>
        <w:t>The possibility of having larger actions ('strategic projects'), when they have a clear cross-border effect can be contemplated as one more option within CBC programmes. These could be soft projects (for example, joint river information systems, Danube related projects coordinating ferries/shipping, etc.) or infrastructure projects.</w:t>
      </w:r>
    </w:p>
    <w:p w14:paraId="2A202F7E" w14:textId="77777777" w:rsidR="005739B7" w:rsidRPr="005742F9" w:rsidRDefault="005739B7" w:rsidP="005739B7">
      <w:pPr>
        <w:spacing w:before="120"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 xml:space="preserve">Strategic projects for the purpose of CBC programmes between IPA beneficiaries are defined as actions with a clear cross-border impact and are more suitable for support under this window. CBC Programmes proposed by IPA beneficiaries may allocate a maximum of </w:t>
      </w:r>
      <w:r w:rsidRPr="00F53FDE">
        <w:rPr>
          <w:rFonts w:ascii="Times New Roman" w:hAnsi="Times New Roman" w:cs="Times New Roman"/>
          <w:i/>
          <w:sz w:val="24"/>
          <w:szCs w:val="24"/>
        </w:rPr>
        <w:t>[30-35%]</w:t>
      </w:r>
      <w:r w:rsidRPr="005742F9">
        <w:rPr>
          <w:rFonts w:ascii="Times New Roman" w:hAnsi="Times New Roman" w:cs="Times New Roman"/>
          <w:sz w:val="24"/>
          <w:szCs w:val="24"/>
        </w:rPr>
        <w:t xml:space="preserve"> of the overall CBC programme budget for strategic projects. These will need to be presented (summary and budget) already in the programme document. Their implementation will be subject to prior assessment of their relevance and maturity by the Commission. </w:t>
      </w:r>
    </w:p>
    <w:p w14:paraId="2FCAC3E6" w14:textId="7CEBB742" w:rsidR="005739B7" w:rsidRPr="005742F9" w:rsidRDefault="00A67C54" w:rsidP="005739B7">
      <w:pPr>
        <w:spacing w:before="120" w:after="120" w:line="240" w:lineRule="auto"/>
        <w:jc w:val="both"/>
        <w:rPr>
          <w:rFonts w:ascii="Times New Roman" w:hAnsi="Times New Roman" w:cs="Times New Roman"/>
          <w:sz w:val="24"/>
          <w:szCs w:val="24"/>
        </w:rPr>
      </w:pPr>
      <w:r>
        <w:rPr>
          <w:rFonts w:ascii="Times New Roman" w:hAnsi="Times New Roman" w:cs="Times New Roman"/>
          <w:b/>
          <w:bCs/>
          <w:i/>
          <w:iCs/>
          <w:sz w:val="24"/>
          <w:szCs w:val="24"/>
        </w:rPr>
        <w:t>Technical Assistance</w:t>
      </w:r>
      <w:r w:rsidR="005739B7" w:rsidRPr="005742F9">
        <w:rPr>
          <w:rFonts w:ascii="Times New Roman" w:hAnsi="Times New Roman" w:cs="Times New Roman"/>
          <w:b/>
          <w:bCs/>
          <w:i/>
          <w:iCs/>
          <w:sz w:val="24"/>
          <w:szCs w:val="24"/>
        </w:rPr>
        <w:t xml:space="preserve"> to the specific programmes</w:t>
      </w:r>
      <w:r w:rsidR="005739B7" w:rsidRPr="005742F9">
        <w:rPr>
          <w:rFonts w:ascii="Times New Roman" w:hAnsi="Times New Roman" w:cs="Times New Roman"/>
          <w:b/>
          <w:bCs/>
          <w:sz w:val="24"/>
          <w:szCs w:val="24"/>
        </w:rPr>
        <w:t xml:space="preserve">. </w:t>
      </w:r>
      <w:r w:rsidR="005739B7" w:rsidRPr="005742F9">
        <w:rPr>
          <w:rFonts w:ascii="Times New Roman" w:hAnsi="Times New Roman" w:cs="Times New Roman"/>
          <w:sz w:val="24"/>
          <w:szCs w:val="24"/>
        </w:rPr>
        <w:t xml:space="preserve">A maximum of 10 % of each CBC programme budget can be devoted to activities aiming to reinforce the administrative capacity for implementing cross-border cooperation. The allocation shall be devoted to cover certain costs such as staff cost for joint programme structures, mission costs of programme staff in the CBC area, training of grant beneficiaries, visibility events, awareness raising, etc. It will also cover the costs of monitoring, evaluation, information and control activities related to the implementation of the programme. </w:t>
      </w:r>
    </w:p>
    <w:p w14:paraId="10CA2134" w14:textId="77777777" w:rsidR="005739B7" w:rsidRDefault="005739B7" w:rsidP="005739B7">
      <w:pPr>
        <w:spacing w:before="120" w:after="120" w:line="240" w:lineRule="auto"/>
        <w:jc w:val="both"/>
        <w:rPr>
          <w:rFonts w:ascii="Times New Roman" w:hAnsi="Times New Roman" w:cs="Times New Roman"/>
          <w:sz w:val="24"/>
          <w:szCs w:val="24"/>
        </w:rPr>
      </w:pPr>
      <w:r w:rsidRPr="005742F9">
        <w:rPr>
          <w:rFonts w:ascii="Times New Roman" w:hAnsi="Times New Roman" w:cs="Times New Roman"/>
          <w:b/>
          <w:bCs/>
          <w:i/>
          <w:iCs/>
          <w:sz w:val="24"/>
          <w:szCs w:val="24"/>
        </w:rPr>
        <w:t>Technical Assistance for cross- border cooperation among IPA Beneficiarie</w:t>
      </w:r>
      <w:r w:rsidRPr="0039204D">
        <w:rPr>
          <w:rFonts w:ascii="Times New Roman" w:hAnsi="Times New Roman" w:cs="Times New Roman"/>
          <w:b/>
          <w:bCs/>
          <w:sz w:val="24"/>
          <w:szCs w:val="24"/>
        </w:rPr>
        <w:t>s.</w:t>
      </w:r>
      <w:r w:rsidRPr="0039204D">
        <w:rPr>
          <w:rFonts w:ascii="Times New Roman" w:hAnsi="Times New Roman" w:cs="Times New Roman"/>
          <w:sz w:val="24"/>
          <w:szCs w:val="24"/>
        </w:rPr>
        <w:t xml:space="preserve"> </w:t>
      </w:r>
      <w:r w:rsidRPr="005742F9">
        <w:rPr>
          <w:rFonts w:ascii="Times New Roman" w:hAnsi="Times New Roman" w:cs="Times New Roman"/>
          <w:sz w:val="24"/>
          <w:szCs w:val="24"/>
        </w:rPr>
        <w:t>The objective of this horizontal support is to generate and share knowledge among stakeholders for the improvement of procedures and tools to achieve a high level of quality in programmes implementation. It also facilitates spreading good governance approaches along the lines of the European Territorial Cooperation (ETC) objective and preparing the stakeholders for the EU Cohesion Policy.</w:t>
      </w:r>
      <w:r w:rsidRPr="0039204D">
        <w:rPr>
          <w:rFonts w:ascii="Times New Roman" w:hAnsi="Times New Roman" w:cs="Times New Roman"/>
          <w:sz w:val="24"/>
          <w:szCs w:val="24"/>
        </w:rPr>
        <w:t xml:space="preserve"> </w:t>
      </w:r>
      <w:r w:rsidRPr="005742F9">
        <w:rPr>
          <w:rFonts w:ascii="Times New Roman" w:hAnsi="Times New Roman" w:cs="Times New Roman"/>
          <w:sz w:val="24"/>
          <w:szCs w:val="24"/>
        </w:rPr>
        <w:t>An additional objective of this support will be specifically to support local authorities to strengthen their capacities as key local development partner.</w:t>
      </w:r>
    </w:p>
    <w:p w14:paraId="356888C8" w14:textId="77777777" w:rsidR="005739B7" w:rsidRPr="0039204D" w:rsidRDefault="005739B7" w:rsidP="005739B7">
      <w:pPr>
        <w:spacing w:before="120" w:after="120" w:line="240" w:lineRule="auto"/>
        <w:jc w:val="both"/>
        <w:rPr>
          <w:rFonts w:ascii="Times New Roman" w:hAnsi="Times New Roman" w:cs="Times New Roman"/>
          <w:sz w:val="24"/>
          <w:szCs w:val="24"/>
        </w:rPr>
      </w:pPr>
    </w:p>
    <w:p w14:paraId="06541FAD" w14:textId="77777777" w:rsidR="005739B7" w:rsidRPr="005742F9" w:rsidRDefault="005739B7" w:rsidP="005739B7">
      <w:pPr>
        <w:spacing w:before="120" w:after="120" w:line="240" w:lineRule="auto"/>
        <w:jc w:val="both"/>
        <w:rPr>
          <w:rFonts w:ascii="Times New Roman" w:hAnsi="Times New Roman" w:cs="Times New Roman"/>
          <w:b/>
          <w:bCs/>
          <w:sz w:val="24"/>
          <w:szCs w:val="24"/>
        </w:rPr>
      </w:pPr>
      <w:r w:rsidRPr="005742F9">
        <w:rPr>
          <w:rFonts w:ascii="Times New Roman" w:hAnsi="Times New Roman" w:cs="Times New Roman"/>
          <w:b/>
          <w:bCs/>
          <w:sz w:val="24"/>
          <w:szCs w:val="24"/>
        </w:rPr>
        <w:t>Implementation methods:</w:t>
      </w:r>
    </w:p>
    <w:p w14:paraId="644FDA1B" w14:textId="77777777" w:rsidR="005739B7" w:rsidRPr="007E76CF" w:rsidRDefault="005739B7" w:rsidP="005739B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w:t>
      </w:r>
      <w:r w:rsidRPr="005742F9">
        <w:rPr>
          <w:rFonts w:ascii="Times New Roman" w:hAnsi="Times New Roman" w:cs="Times New Roman"/>
          <w:sz w:val="24"/>
          <w:szCs w:val="24"/>
        </w:rPr>
        <w:t>BC programmes are implemented in direct or indirect management depending on the level of preparedness of the p</w:t>
      </w:r>
      <w:r>
        <w:rPr>
          <w:rFonts w:ascii="Times New Roman" w:hAnsi="Times New Roman" w:cs="Times New Roman"/>
          <w:sz w:val="24"/>
          <w:szCs w:val="24"/>
        </w:rPr>
        <w:t>articipating IPA beneficiaries.</w:t>
      </w:r>
    </w:p>
    <w:p w14:paraId="6006DD9B" w14:textId="77777777" w:rsidR="001A6184" w:rsidRDefault="001A6184" w:rsidP="005739B7">
      <w:pPr>
        <w:keepNext/>
        <w:spacing w:after="120" w:line="240" w:lineRule="auto"/>
        <w:jc w:val="both"/>
        <w:rPr>
          <w:rFonts w:ascii="Times New Roman" w:hAnsi="Times New Roman" w:cs="Times New Roman"/>
          <w:b/>
          <w:bCs/>
          <w:sz w:val="24"/>
          <w:szCs w:val="24"/>
        </w:rPr>
      </w:pPr>
    </w:p>
    <w:p w14:paraId="666F28BB" w14:textId="68C17087" w:rsidR="005739B7" w:rsidRPr="005742F9" w:rsidRDefault="005739B7" w:rsidP="005739B7">
      <w:pPr>
        <w:keepNext/>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Pr="005742F9">
        <w:rPr>
          <w:rFonts w:ascii="Times New Roman" w:hAnsi="Times New Roman" w:cs="Times New Roman"/>
          <w:b/>
          <w:bCs/>
          <w:sz w:val="24"/>
          <w:szCs w:val="24"/>
        </w:rPr>
        <w:t>. Assumptions and Risks</w:t>
      </w:r>
    </w:p>
    <w:p w14:paraId="517A6F7D" w14:textId="77777777" w:rsidR="005739B7" w:rsidRPr="005742F9" w:rsidRDefault="005739B7" w:rsidP="005739B7">
      <w:pPr>
        <w:spacing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The Interreg-IPA CBC, ERDF transnational</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and interregional cooperation programmes will be developed as part of the ETC programming process. Therefore, this section addresses IPA-IPA CBC exclusively. </w:t>
      </w:r>
    </w:p>
    <w:p w14:paraId="6113FB47" w14:textId="77777777" w:rsidR="005739B7" w:rsidRPr="0039204D" w:rsidRDefault="005739B7" w:rsidP="005739B7">
      <w:pPr>
        <w:spacing w:after="120" w:line="240" w:lineRule="auto"/>
        <w:jc w:val="both"/>
        <w:rPr>
          <w:i/>
          <w:iCs/>
          <w:u w:val="single"/>
        </w:rPr>
      </w:pPr>
      <w:r w:rsidRPr="005742F9">
        <w:rPr>
          <w:rFonts w:ascii="Times New Roman" w:hAnsi="Times New Roman" w:cs="Times New Roman"/>
          <w:i/>
          <w:iCs/>
          <w:sz w:val="24"/>
          <w:szCs w:val="24"/>
          <w:u w:val="single"/>
        </w:rPr>
        <w:t xml:space="preserve">Assumptions: </w:t>
      </w:r>
    </w:p>
    <w:p w14:paraId="569BD012" w14:textId="77777777" w:rsidR="005739B7" w:rsidRPr="00BD17EE" w:rsidRDefault="005739B7" w:rsidP="005739B7">
      <w:pPr>
        <w:numPr>
          <w:ilvl w:val="0"/>
          <w:numId w:val="4"/>
        </w:numPr>
        <w:spacing w:after="120" w:line="240" w:lineRule="auto"/>
        <w:jc w:val="both"/>
        <w:rPr>
          <w:rFonts w:ascii="Times New Roman" w:eastAsia="Calibri" w:hAnsi="Times New Roman" w:cs="Times New Roman"/>
          <w:sz w:val="24"/>
          <w:szCs w:val="24"/>
        </w:rPr>
      </w:pPr>
      <w:r w:rsidRPr="00BD17EE">
        <w:rPr>
          <w:rFonts w:ascii="Times New Roman" w:eastAsia="Calibri" w:hAnsi="Times New Roman" w:cs="Times New Roman"/>
          <w:sz w:val="24"/>
          <w:szCs w:val="24"/>
        </w:rPr>
        <w:t>Local authorities and NGOs are interested in taking part in calls for proposals</w:t>
      </w:r>
    </w:p>
    <w:p w14:paraId="328A375A" w14:textId="77777777" w:rsidR="005739B7" w:rsidRPr="005742F9" w:rsidRDefault="005739B7" w:rsidP="005739B7">
      <w:pPr>
        <w:numPr>
          <w:ilvl w:val="1"/>
          <w:numId w:val="14"/>
        </w:numPr>
        <w:autoSpaceDE w:val="0"/>
        <w:autoSpaceDN w:val="0"/>
        <w:adjustRightInd w:val="0"/>
        <w:spacing w:before="120"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This interest will have to be fostered by targeted information campaigns and appropriate technical assistance support to prepare applications as well as implement projects.</w:t>
      </w:r>
    </w:p>
    <w:p w14:paraId="7B7A5859" w14:textId="77777777" w:rsidR="005739B7" w:rsidRPr="00BD17EE" w:rsidRDefault="005739B7" w:rsidP="005739B7">
      <w:pPr>
        <w:numPr>
          <w:ilvl w:val="0"/>
          <w:numId w:val="4"/>
        </w:numPr>
        <w:spacing w:after="120" w:line="240" w:lineRule="auto"/>
        <w:jc w:val="both"/>
        <w:rPr>
          <w:rFonts w:ascii="Times New Roman" w:eastAsia="Calibri" w:hAnsi="Times New Roman" w:cs="Times New Roman"/>
          <w:sz w:val="24"/>
          <w:szCs w:val="24"/>
        </w:rPr>
      </w:pPr>
      <w:r w:rsidRPr="00BD17EE">
        <w:rPr>
          <w:rFonts w:ascii="Times New Roman" w:eastAsia="Calibri" w:hAnsi="Times New Roman" w:cs="Times New Roman"/>
          <w:sz w:val="24"/>
          <w:szCs w:val="24"/>
        </w:rPr>
        <w:t>Support is provided by the administrations where needed</w:t>
      </w:r>
    </w:p>
    <w:p w14:paraId="1F9C5AAD" w14:textId="77777777" w:rsidR="005739B7" w:rsidRDefault="005739B7" w:rsidP="005739B7">
      <w:pPr>
        <w:numPr>
          <w:ilvl w:val="1"/>
          <w:numId w:val="14"/>
        </w:numPr>
        <w:autoSpaceDE w:val="0"/>
        <w:autoSpaceDN w:val="0"/>
        <w:adjustRightInd w:val="0"/>
        <w:spacing w:before="120" w:after="120" w:line="240" w:lineRule="auto"/>
        <w:jc w:val="both"/>
        <w:rPr>
          <w:rFonts w:ascii="Times New Roman" w:hAnsi="Times New Roman" w:cs="Times New Roman"/>
          <w:sz w:val="24"/>
          <w:szCs w:val="24"/>
        </w:rPr>
      </w:pPr>
      <w:r w:rsidRPr="005742F9">
        <w:rPr>
          <w:rFonts w:ascii="Times New Roman" w:hAnsi="Times New Roman" w:cs="Times New Roman"/>
          <w:sz w:val="24"/>
          <w:szCs w:val="24"/>
        </w:rPr>
        <w:t>Selection of strategic projects is likely to be the join responsibility of the National administrations. To ensure their involvement, the link with regional development policies of the IPA beneficiary and the specific CBC programme will need to be established in the programme document.</w:t>
      </w:r>
    </w:p>
    <w:p w14:paraId="4C4F5A91" w14:textId="77777777" w:rsidR="005739B7" w:rsidRPr="0039204D" w:rsidRDefault="005739B7" w:rsidP="005739B7">
      <w:pPr>
        <w:widowControl w:val="0"/>
        <w:spacing w:after="120" w:line="240" w:lineRule="auto"/>
        <w:jc w:val="both"/>
        <w:rPr>
          <w:rFonts w:ascii="Times New Roman" w:hAnsi="Times New Roman" w:cs="Times New Roman"/>
          <w:i/>
          <w:iCs/>
          <w:sz w:val="24"/>
          <w:szCs w:val="24"/>
          <w:u w:val="single"/>
        </w:rPr>
      </w:pPr>
      <w:r w:rsidRPr="005742F9">
        <w:rPr>
          <w:rFonts w:ascii="Times New Roman" w:hAnsi="Times New Roman" w:cs="Times New Roman"/>
          <w:i/>
          <w:iCs/>
          <w:sz w:val="24"/>
          <w:szCs w:val="24"/>
          <w:u w:val="single"/>
        </w:rPr>
        <w:t xml:space="preserve">Risks: </w:t>
      </w:r>
    </w:p>
    <w:p w14:paraId="1B523D9A" w14:textId="77777777" w:rsidR="005739B7" w:rsidRPr="00BD17EE" w:rsidRDefault="005739B7" w:rsidP="005739B7">
      <w:pPr>
        <w:widowControl w:val="0"/>
        <w:numPr>
          <w:ilvl w:val="0"/>
          <w:numId w:val="4"/>
        </w:numPr>
        <w:spacing w:after="120" w:line="240" w:lineRule="auto"/>
        <w:jc w:val="both"/>
        <w:rPr>
          <w:rFonts w:ascii="Times New Roman" w:eastAsia="Calibri" w:hAnsi="Times New Roman" w:cs="Times New Roman"/>
          <w:sz w:val="24"/>
          <w:szCs w:val="24"/>
        </w:rPr>
      </w:pPr>
      <w:r w:rsidRPr="00BD17EE">
        <w:rPr>
          <w:rFonts w:ascii="Times New Roman" w:eastAsia="Calibri" w:hAnsi="Times New Roman" w:cs="Times New Roman"/>
          <w:sz w:val="24"/>
          <w:szCs w:val="24"/>
        </w:rPr>
        <w:t>Deterioration of good neighbourly relations and subsequent insufficient commitment to the success of these programmes by participating IPA Beneficiaries</w:t>
      </w:r>
    </w:p>
    <w:p w14:paraId="3D11F704" w14:textId="77777777" w:rsidR="005739B7" w:rsidRPr="005742F9" w:rsidRDefault="005739B7" w:rsidP="005739B7">
      <w:pPr>
        <w:widowControl w:val="0"/>
        <w:numPr>
          <w:ilvl w:val="1"/>
          <w:numId w:val="9"/>
        </w:numPr>
        <w:autoSpaceDE w:val="0"/>
        <w:autoSpaceDN w:val="0"/>
        <w:adjustRightInd w:val="0"/>
        <w:spacing w:before="120" w:after="120" w:line="240" w:lineRule="auto"/>
        <w:ind w:left="1080"/>
        <w:jc w:val="both"/>
        <w:rPr>
          <w:rFonts w:ascii="Times New Roman" w:hAnsi="Times New Roman" w:cs="Times New Roman"/>
          <w:sz w:val="24"/>
          <w:szCs w:val="24"/>
        </w:rPr>
      </w:pPr>
      <w:r w:rsidRPr="005742F9">
        <w:rPr>
          <w:rFonts w:ascii="Times New Roman" w:hAnsi="Times New Roman" w:cs="Times New Roman"/>
          <w:sz w:val="24"/>
          <w:szCs w:val="24"/>
        </w:rPr>
        <w:t>Any deterioration of good neighbourly relations can be countered through addressing this at high political level.</w:t>
      </w:r>
      <w:r>
        <w:rPr>
          <w:rFonts w:ascii="Times New Roman" w:hAnsi="Times New Roman" w:cs="Times New Roman"/>
          <w:sz w:val="24"/>
          <w:szCs w:val="24"/>
        </w:rPr>
        <w:t xml:space="preserve"> </w:t>
      </w:r>
      <w:r w:rsidRPr="005742F9">
        <w:rPr>
          <w:rFonts w:ascii="Times New Roman" w:hAnsi="Times New Roman" w:cs="Times New Roman"/>
          <w:sz w:val="24"/>
          <w:szCs w:val="24"/>
        </w:rPr>
        <w:t xml:space="preserve">Insufficient commitment can be mitigated through emphasising, in political dialogue, the importance of such programmes. </w:t>
      </w:r>
    </w:p>
    <w:p w14:paraId="753E2586" w14:textId="77777777" w:rsidR="005739B7" w:rsidRPr="00BD17EE" w:rsidRDefault="005739B7" w:rsidP="005739B7">
      <w:pPr>
        <w:widowControl w:val="0"/>
        <w:numPr>
          <w:ilvl w:val="0"/>
          <w:numId w:val="4"/>
        </w:numPr>
        <w:spacing w:after="120" w:line="240" w:lineRule="auto"/>
        <w:jc w:val="both"/>
        <w:rPr>
          <w:rFonts w:ascii="Times New Roman" w:eastAsia="Calibri" w:hAnsi="Times New Roman" w:cs="Times New Roman"/>
          <w:sz w:val="24"/>
          <w:szCs w:val="24"/>
        </w:rPr>
      </w:pPr>
      <w:r w:rsidRPr="00BD17EE">
        <w:rPr>
          <w:rFonts w:ascii="Times New Roman" w:eastAsia="Calibri" w:hAnsi="Times New Roman" w:cs="Times New Roman"/>
          <w:sz w:val="24"/>
          <w:szCs w:val="24"/>
        </w:rPr>
        <w:t xml:space="preserve">Lack of capacity in the beneficiary institutions or final beneficiaries to manage the complex CBC programming and implementation procedures. </w:t>
      </w:r>
    </w:p>
    <w:p w14:paraId="6C32740C" w14:textId="77777777" w:rsidR="005739B7" w:rsidRDefault="005739B7" w:rsidP="005739B7">
      <w:pPr>
        <w:widowControl w:val="0"/>
        <w:numPr>
          <w:ilvl w:val="1"/>
          <w:numId w:val="9"/>
        </w:numPr>
        <w:autoSpaceDE w:val="0"/>
        <w:autoSpaceDN w:val="0"/>
        <w:adjustRightInd w:val="0"/>
        <w:spacing w:before="120" w:after="120" w:line="240" w:lineRule="auto"/>
        <w:ind w:left="1080"/>
        <w:jc w:val="both"/>
        <w:rPr>
          <w:rFonts w:ascii="Times New Roman" w:hAnsi="Times New Roman" w:cs="Times New Roman"/>
          <w:sz w:val="24"/>
          <w:szCs w:val="24"/>
        </w:rPr>
      </w:pPr>
      <w:r w:rsidRPr="007E76CF">
        <w:rPr>
          <w:rFonts w:ascii="Times New Roman" w:hAnsi="Times New Roman" w:cs="Times New Roman"/>
          <w:sz w:val="24"/>
          <w:szCs w:val="24"/>
        </w:rPr>
        <w:t>Insufficient capacities of beneficiary institutions or final beneficiaries to apply and implement projects can be mitigated through information sessions, seminars</w:t>
      </w:r>
      <w:r w:rsidRPr="007E76CF">
        <w:rPr>
          <w:rFonts w:ascii="Times New Roman" w:hAnsi="Times New Roman" w:cs="Times New Roman"/>
          <w:color w:val="000000"/>
          <w:sz w:val="24"/>
          <w:szCs w:val="24"/>
        </w:rPr>
        <w:t xml:space="preserve"> </w:t>
      </w:r>
      <w:r w:rsidRPr="007E76CF">
        <w:rPr>
          <w:rFonts w:ascii="Times New Roman" w:hAnsi="Times New Roman" w:cs="Times New Roman"/>
          <w:sz w:val="24"/>
          <w:szCs w:val="24"/>
        </w:rPr>
        <w:t xml:space="preserve">and other educational and technical assistance-related activities. The targeted technical assistance planned under each programme and the regional technical assistance will help address this risk. </w:t>
      </w:r>
    </w:p>
    <w:p w14:paraId="669ADFA0" w14:textId="77777777" w:rsidR="005739B7" w:rsidRDefault="005739B7" w:rsidP="005739B7">
      <w:pPr>
        <w:widowControl w:val="0"/>
        <w:numPr>
          <w:ilvl w:val="1"/>
          <w:numId w:val="9"/>
        </w:numPr>
        <w:autoSpaceDE w:val="0"/>
        <w:autoSpaceDN w:val="0"/>
        <w:adjustRightInd w:val="0"/>
        <w:spacing w:before="120" w:after="120" w:line="240" w:lineRule="auto"/>
        <w:ind w:left="1080"/>
        <w:jc w:val="both"/>
        <w:rPr>
          <w:rFonts w:ascii="Times New Roman" w:hAnsi="Times New Roman" w:cs="Times New Roman"/>
          <w:sz w:val="24"/>
          <w:szCs w:val="24"/>
        </w:rPr>
        <w:sectPr w:rsidR="005739B7" w:rsidSect="00885EAB">
          <w:pgSz w:w="11906" w:h="16838"/>
          <w:pgMar w:top="1440" w:right="1440" w:bottom="1440" w:left="1440" w:header="708" w:footer="708" w:gutter="0"/>
          <w:cols w:space="708"/>
          <w:docGrid w:linePitch="360"/>
        </w:sectPr>
      </w:pPr>
    </w:p>
    <w:p w14:paraId="5E81F349" w14:textId="77777777" w:rsidR="005739B7" w:rsidRDefault="005739B7" w:rsidP="005739B7">
      <w:pPr>
        <w:pStyle w:val="Balk1"/>
        <w:pBdr>
          <w:top w:val="single" w:sz="4" w:space="1" w:color="auto"/>
          <w:left w:val="single" w:sz="4" w:space="1" w:color="auto"/>
          <w:bottom w:val="single" w:sz="4" w:space="1" w:color="auto"/>
          <w:right w:val="single" w:sz="4" w:space="1" w:color="auto"/>
        </w:pBdr>
        <w:spacing w:before="0"/>
        <w:jc w:val="center"/>
        <w:rPr>
          <w:rFonts w:ascii="Times New Roman" w:hAnsi="Times New Roman" w:cs="Times New Roman"/>
          <w:b/>
          <w:color w:val="000000" w:themeColor="text1"/>
        </w:rPr>
      </w:pPr>
      <w:r w:rsidRPr="007E76CF">
        <w:rPr>
          <w:rFonts w:ascii="Times New Roman" w:hAnsi="Times New Roman" w:cs="Times New Roman"/>
          <w:sz w:val="24"/>
          <w:szCs w:val="24"/>
        </w:rPr>
        <w:t xml:space="preserve"> </w:t>
      </w:r>
      <w:bookmarkStart w:id="31" w:name="_Toc55992240"/>
      <w:bookmarkStart w:id="32" w:name="_Toc56584497"/>
      <w:r w:rsidRPr="00964F0F">
        <w:rPr>
          <w:rFonts w:ascii="Times New Roman" w:hAnsi="Times New Roman" w:cs="Times New Roman"/>
          <w:b/>
          <w:color w:val="000000" w:themeColor="text1"/>
        </w:rPr>
        <w:t>IPA III INDICATIVE ALLOCATIONS</w:t>
      </w:r>
      <w:bookmarkEnd w:id="31"/>
      <w:bookmarkEnd w:id="32"/>
    </w:p>
    <w:p w14:paraId="3A5F2285" w14:textId="77777777" w:rsidR="005739B7" w:rsidRDefault="005739B7" w:rsidP="005739B7">
      <w:pPr>
        <w:pStyle w:val="Balk1"/>
        <w:pBdr>
          <w:top w:val="single" w:sz="4" w:space="1" w:color="auto"/>
          <w:left w:val="single" w:sz="4" w:space="1" w:color="auto"/>
          <w:bottom w:val="single" w:sz="4" w:space="1" w:color="auto"/>
          <w:right w:val="single" w:sz="4" w:space="1" w:color="auto"/>
        </w:pBdr>
        <w:spacing w:before="0" w:line="120" w:lineRule="auto"/>
        <w:jc w:val="center"/>
        <w:rPr>
          <w:rFonts w:ascii="Times New Roman" w:hAnsi="Times New Roman" w:cs="Times New Roman"/>
          <w:b/>
          <w:color w:val="000000" w:themeColor="text1"/>
        </w:rPr>
      </w:pPr>
    </w:p>
    <w:p w14:paraId="6EBC0A7A" w14:textId="77777777" w:rsidR="005739B7" w:rsidRPr="005742F9" w:rsidRDefault="005739B7" w:rsidP="005739B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table below shows the indicative allocation for the period 2021-2027 to support the thematic priorities of IPA III programming framework. Prices are expressed in million Euro. </w:t>
      </w:r>
    </w:p>
    <w:tbl>
      <w:tblPr>
        <w:tblW w:w="14039" w:type="dxa"/>
        <w:tblInd w:w="80" w:type="dxa"/>
        <w:tblLayout w:type="fixed"/>
        <w:tblCellMar>
          <w:left w:w="70" w:type="dxa"/>
          <w:right w:w="70" w:type="dxa"/>
        </w:tblCellMar>
        <w:tblLook w:val="04A0" w:firstRow="1" w:lastRow="0" w:firstColumn="1" w:lastColumn="0" w:noHBand="0" w:noVBand="1"/>
      </w:tblPr>
      <w:tblGrid>
        <w:gridCol w:w="3979"/>
        <w:gridCol w:w="165"/>
        <w:gridCol w:w="1091"/>
        <w:gridCol w:w="1100"/>
        <w:gridCol w:w="1101"/>
        <w:gridCol w:w="1100"/>
        <w:gridCol w:w="1101"/>
        <w:gridCol w:w="1100"/>
        <w:gridCol w:w="1101"/>
        <w:gridCol w:w="1100"/>
        <w:gridCol w:w="1101"/>
      </w:tblGrid>
      <w:tr w:rsidR="005739B7" w:rsidRPr="00BF70ED" w14:paraId="6021C72A" w14:textId="77777777" w:rsidTr="00EC3288">
        <w:trPr>
          <w:trHeight w:val="648"/>
        </w:trPr>
        <w:tc>
          <w:tcPr>
            <w:tcW w:w="3979" w:type="dxa"/>
            <w:tcBorders>
              <w:top w:val="single" w:sz="8" w:space="0" w:color="auto"/>
              <w:left w:val="single" w:sz="8" w:space="0" w:color="auto"/>
              <w:bottom w:val="single" w:sz="8" w:space="0" w:color="auto"/>
              <w:right w:val="single" w:sz="8" w:space="0" w:color="auto"/>
            </w:tcBorders>
            <w:shd w:val="clear" w:color="000000" w:fill="95B3D7"/>
            <w:vAlign w:val="center"/>
            <w:hideMark/>
          </w:tcPr>
          <w:p w14:paraId="3EEAD312"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IPA III Windows</w:t>
            </w:r>
          </w:p>
        </w:tc>
        <w:tc>
          <w:tcPr>
            <w:tcW w:w="165" w:type="dxa"/>
            <w:tcBorders>
              <w:top w:val="nil"/>
              <w:left w:val="nil"/>
              <w:bottom w:val="nil"/>
              <w:right w:val="nil"/>
            </w:tcBorders>
            <w:shd w:val="clear" w:color="auto" w:fill="auto"/>
            <w:noWrap/>
            <w:vAlign w:val="bottom"/>
            <w:hideMark/>
          </w:tcPr>
          <w:p w14:paraId="51B030FB"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p>
        </w:tc>
        <w:tc>
          <w:tcPr>
            <w:tcW w:w="1091" w:type="dxa"/>
            <w:tcBorders>
              <w:top w:val="single" w:sz="8" w:space="0" w:color="auto"/>
              <w:left w:val="single" w:sz="8" w:space="0" w:color="auto"/>
              <w:bottom w:val="nil"/>
              <w:right w:val="single" w:sz="8" w:space="0" w:color="auto"/>
            </w:tcBorders>
            <w:shd w:val="clear" w:color="000000" w:fill="95B3D7"/>
            <w:vAlign w:val="center"/>
            <w:hideMark/>
          </w:tcPr>
          <w:p w14:paraId="6F53E60C"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w:t>
            </w:r>
          </w:p>
        </w:tc>
        <w:tc>
          <w:tcPr>
            <w:tcW w:w="1100" w:type="dxa"/>
            <w:tcBorders>
              <w:top w:val="single" w:sz="8" w:space="0" w:color="auto"/>
              <w:left w:val="nil"/>
              <w:bottom w:val="nil"/>
              <w:right w:val="single" w:sz="8" w:space="0" w:color="auto"/>
            </w:tcBorders>
            <w:shd w:val="clear" w:color="000000" w:fill="95B3D7"/>
            <w:vAlign w:val="center"/>
            <w:hideMark/>
          </w:tcPr>
          <w:p w14:paraId="00AD4489"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2021</w:t>
            </w:r>
          </w:p>
        </w:tc>
        <w:tc>
          <w:tcPr>
            <w:tcW w:w="1101" w:type="dxa"/>
            <w:tcBorders>
              <w:top w:val="single" w:sz="8" w:space="0" w:color="auto"/>
              <w:left w:val="nil"/>
              <w:bottom w:val="nil"/>
              <w:right w:val="single" w:sz="8" w:space="0" w:color="auto"/>
            </w:tcBorders>
            <w:shd w:val="clear" w:color="000000" w:fill="95B3D7"/>
            <w:vAlign w:val="center"/>
            <w:hideMark/>
          </w:tcPr>
          <w:p w14:paraId="122AFE16"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2022</w:t>
            </w:r>
          </w:p>
        </w:tc>
        <w:tc>
          <w:tcPr>
            <w:tcW w:w="1100" w:type="dxa"/>
            <w:tcBorders>
              <w:top w:val="single" w:sz="8" w:space="0" w:color="auto"/>
              <w:left w:val="nil"/>
              <w:bottom w:val="nil"/>
              <w:right w:val="single" w:sz="8" w:space="0" w:color="auto"/>
            </w:tcBorders>
            <w:shd w:val="clear" w:color="000000" w:fill="95B3D7"/>
            <w:vAlign w:val="center"/>
            <w:hideMark/>
          </w:tcPr>
          <w:p w14:paraId="16623BF5"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2023</w:t>
            </w:r>
          </w:p>
        </w:tc>
        <w:tc>
          <w:tcPr>
            <w:tcW w:w="1101" w:type="dxa"/>
            <w:tcBorders>
              <w:top w:val="single" w:sz="8" w:space="0" w:color="auto"/>
              <w:left w:val="nil"/>
              <w:bottom w:val="nil"/>
              <w:right w:val="single" w:sz="8" w:space="0" w:color="auto"/>
            </w:tcBorders>
            <w:shd w:val="clear" w:color="000000" w:fill="95B3D7"/>
            <w:vAlign w:val="center"/>
            <w:hideMark/>
          </w:tcPr>
          <w:p w14:paraId="51A2DA31"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2024</w:t>
            </w:r>
          </w:p>
        </w:tc>
        <w:tc>
          <w:tcPr>
            <w:tcW w:w="1100" w:type="dxa"/>
            <w:tcBorders>
              <w:top w:val="single" w:sz="8" w:space="0" w:color="auto"/>
              <w:left w:val="nil"/>
              <w:bottom w:val="nil"/>
              <w:right w:val="single" w:sz="8" w:space="0" w:color="auto"/>
            </w:tcBorders>
            <w:shd w:val="clear" w:color="000000" w:fill="95B3D7"/>
            <w:vAlign w:val="center"/>
            <w:hideMark/>
          </w:tcPr>
          <w:p w14:paraId="6F996420"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2025</w:t>
            </w:r>
          </w:p>
        </w:tc>
        <w:tc>
          <w:tcPr>
            <w:tcW w:w="1101" w:type="dxa"/>
            <w:tcBorders>
              <w:top w:val="single" w:sz="8" w:space="0" w:color="auto"/>
              <w:left w:val="nil"/>
              <w:bottom w:val="nil"/>
              <w:right w:val="single" w:sz="8" w:space="0" w:color="auto"/>
            </w:tcBorders>
            <w:shd w:val="clear" w:color="000000" w:fill="95B3D7"/>
            <w:vAlign w:val="center"/>
            <w:hideMark/>
          </w:tcPr>
          <w:p w14:paraId="6AA30B5F"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2026</w:t>
            </w:r>
          </w:p>
        </w:tc>
        <w:tc>
          <w:tcPr>
            <w:tcW w:w="1100" w:type="dxa"/>
            <w:tcBorders>
              <w:top w:val="single" w:sz="8" w:space="0" w:color="auto"/>
              <w:left w:val="nil"/>
              <w:bottom w:val="nil"/>
              <w:right w:val="single" w:sz="8" w:space="0" w:color="auto"/>
            </w:tcBorders>
            <w:shd w:val="clear" w:color="000000" w:fill="95B3D7"/>
            <w:vAlign w:val="center"/>
            <w:hideMark/>
          </w:tcPr>
          <w:p w14:paraId="0BF81D26"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2027</w:t>
            </w:r>
          </w:p>
        </w:tc>
        <w:tc>
          <w:tcPr>
            <w:tcW w:w="1101" w:type="dxa"/>
            <w:tcBorders>
              <w:top w:val="single" w:sz="8" w:space="0" w:color="auto"/>
              <w:left w:val="nil"/>
              <w:bottom w:val="nil"/>
              <w:right w:val="single" w:sz="8" w:space="0" w:color="auto"/>
            </w:tcBorders>
            <w:shd w:val="clear" w:color="000000" w:fill="95B3D7"/>
            <w:vAlign w:val="center"/>
            <w:hideMark/>
          </w:tcPr>
          <w:p w14:paraId="4882E1EB"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Total</w:t>
            </w:r>
          </w:p>
        </w:tc>
      </w:tr>
      <w:tr w:rsidR="005739B7" w:rsidRPr="00BF70ED" w14:paraId="57D97CFD" w14:textId="77777777" w:rsidTr="00EC3288">
        <w:trPr>
          <w:trHeight w:val="678"/>
        </w:trPr>
        <w:tc>
          <w:tcPr>
            <w:tcW w:w="3979" w:type="dxa"/>
            <w:tcBorders>
              <w:top w:val="nil"/>
              <w:left w:val="single" w:sz="8" w:space="0" w:color="auto"/>
              <w:bottom w:val="single" w:sz="4" w:space="0" w:color="auto"/>
              <w:right w:val="single" w:sz="8" w:space="0" w:color="auto"/>
            </w:tcBorders>
            <w:shd w:val="clear" w:color="auto" w:fill="auto"/>
            <w:vAlign w:val="center"/>
            <w:hideMark/>
          </w:tcPr>
          <w:p w14:paraId="0AE28B73" w14:textId="77777777" w:rsidR="005739B7" w:rsidRPr="00BF70ED" w:rsidRDefault="005739B7" w:rsidP="00EC3288">
            <w:pPr>
              <w:spacing w:after="0" w:line="240" w:lineRule="auto"/>
              <w:rPr>
                <w:rFonts w:eastAsia="Times New Roman" w:cstheme="minorHAnsi"/>
                <w:color w:val="000000"/>
                <w:sz w:val="20"/>
                <w:szCs w:val="24"/>
                <w:lang w:eastAsia="fr-BE"/>
              </w:rPr>
            </w:pPr>
            <w:r w:rsidRPr="00BF70ED">
              <w:rPr>
                <w:rFonts w:eastAsia="Times New Roman" w:cstheme="minorHAnsi"/>
                <w:b/>
                <w:bCs/>
                <w:color w:val="000000"/>
                <w:sz w:val="20"/>
                <w:szCs w:val="24"/>
                <w:lang w:eastAsia="fr-BE"/>
              </w:rPr>
              <w:t>Window 1</w:t>
            </w:r>
            <w:r w:rsidRPr="00BF70ED">
              <w:rPr>
                <w:rFonts w:eastAsia="Times New Roman" w:cstheme="minorHAnsi"/>
                <w:color w:val="000000"/>
                <w:sz w:val="20"/>
                <w:szCs w:val="24"/>
                <w:lang w:eastAsia="fr-BE"/>
              </w:rPr>
              <w:t>: Rule of law, fundamental rights and democracy</w:t>
            </w:r>
          </w:p>
        </w:tc>
        <w:tc>
          <w:tcPr>
            <w:tcW w:w="165" w:type="dxa"/>
            <w:tcBorders>
              <w:top w:val="nil"/>
              <w:left w:val="nil"/>
              <w:bottom w:val="nil"/>
              <w:right w:val="nil"/>
            </w:tcBorders>
            <w:shd w:val="clear" w:color="auto" w:fill="auto"/>
            <w:noWrap/>
            <w:vAlign w:val="bottom"/>
            <w:hideMark/>
          </w:tcPr>
          <w:p w14:paraId="300C718D" w14:textId="77777777" w:rsidR="005739B7" w:rsidRPr="00BF70ED" w:rsidRDefault="005739B7" w:rsidP="00EC3288">
            <w:pPr>
              <w:spacing w:after="0" w:line="240" w:lineRule="auto"/>
              <w:rPr>
                <w:rFonts w:eastAsia="Times New Roman" w:cstheme="minorHAnsi"/>
                <w:color w:val="000000"/>
                <w:sz w:val="20"/>
                <w:szCs w:val="24"/>
                <w:lang w:eastAsia="fr-BE"/>
              </w:rPr>
            </w:pPr>
          </w:p>
        </w:tc>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686CFF98" w14:textId="77777777" w:rsidR="005739B7" w:rsidRPr="00BF70ED" w:rsidRDefault="005739B7" w:rsidP="00EC3288">
            <w:pPr>
              <w:spacing w:after="0"/>
              <w:jc w:val="center"/>
              <w:rPr>
                <w:rFonts w:cstheme="minorHAnsi"/>
                <w:sz w:val="20"/>
                <w:szCs w:val="24"/>
              </w:rPr>
            </w:pPr>
            <w:r w:rsidRPr="00BF70ED">
              <w:rPr>
                <w:rFonts w:cstheme="minorHAnsi"/>
                <w:sz w:val="20"/>
                <w:szCs w:val="24"/>
              </w:rPr>
              <w:t>15,13%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8964E19" w14:textId="77777777" w:rsidR="005739B7" w:rsidRPr="00BF70ED" w:rsidRDefault="005739B7" w:rsidP="00EC3288">
            <w:pPr>
              <w:spacing w:after="0"/>
              <w:jc w:val="center"/>
              <w:rPr>
                <w:rFonts w:cstheme="minorHAnsi"/>
                <w:sz w:val="20"/>
                <w:szCs w:val="24"/>
              </w:rPr>
            </w:pPr>
            <w:r w:rsidRPr="00BF70ED">
              <w:rPr>
                <w:rFonts w:cstheme="minorHAnsi"/>
                <w:sz w:val="20"/>
                <w:szCs w:val="24"/>
              </w:rPr>
              <w:t>281</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793EF3CA" w14:textId="77777777" w:rsidR="005739B7" w:rsidRPr="00BF70ED" w:rsidRDefault="005739B7" w:rsidP="00EC3288">
            <w:pPr>
              <w:spacing w:after="0"/>
              <w:jc w:val="center"/>
              <w:rPr>
                <w:rFonts w:cstheme="minorHAnsi"/>
                <w:sz w:val="20"/>
                <w:szCs w:val="24"/>
              </w:rPr>
            </w:pPr>
            <w:r w:rsidRPr="00BF70ED">
              <w:rPr>
                <w:rFonts w:cstheme="minorHAnsi"/>
                <w:sz w:val="20"/>
                <w:szCs w:val="24"/>
              </w:rPr>
              <w:t>287</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F1B7CFF" w14:textId="2DD659C2" w:rsidR="005739B7" w:rsidRPr="00BF70ED" w:rsidRDefault="005739B7" w:rsidP="00EC3288">
            <w:pPr>
              <w:spacing w:after="0"/>
              <w:jc w:val="center"/>
              <w:rPr>
                <w:rFonts w:cstheme="minorHAnsi"/>
                <w:sz w:val="20"/>
                <w:szCs w:val="24"/>
              </w:rPr>
            </w:pPr>
            <w:r w:rsidRPr="00BF70ED">
              <w:rPr>
                <w:rFonts w:cstheme="minorHAnsi"/>
                <w:sz w:val="20"/>
                <w:szCs w:val="24"/>
              </w:rPr>
              <w:t>29</w:t>
            </w:r>
            <w:r w:rsidR="0001675C">
              <w:rPr>
                <w:rFonts w:cstheme="minorHAnsi"/>
                <w:sz w:val="20"/>
                <w:szCs w:val="24"/>
              </w:rPr>
              <w:t>2</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5C974323" w14:textId="133E3E19" w:rsidR="005739B7" w:rsidRPr="00BF70ED" w:rsidRDefault="005739B7" w:rsidP="00EC3288">
            <w:pPr>
              <w:spacing w:after="0"/>
              <w:jc w:val="center"/>
              <w:rPr>
                <w:rFonts w:cstheme="minorHAnsi"/>
                <w:sz w:val="20"/>
                <w:szCs w:val="24"/>
              </w:rPr>
            </w:pPr>
            <w:r w:rsidRPr="00BF70ED">
              <w:rPr>
                <w:rFonts w:cstheme="minorHAnsi"/>
                <w:sz w:val="20"/>
                <w:szCs w:val="24"/>
              </w:rPr>
              <w:t>29</w:t>
            </w:r>
            <w:r w:rsidR="00D67076">
              <w:rPr>
                <w:rFonts w:cstheme="minorHAnsi"/>
                <w:sz w:val="20"/>
                <w:szCs w:val="24"/>
              </w:rPr>
              <w:t>8</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1F78356" w14:textId="77777777" w:rsidR="005739B7" w:rsidRPr="00BF70ED" w:rsidRDefault="005739B7" w:rsidP="00EC3288">
            <w:pPr>
              <w:spacing w:after="0"/>
              <w:jc w:val="center"/>
              <w:rPr>
                <w:rFonts w:cstheme="minorHAnsi"/>
                <w:sz w:val="20"/>
                <w:szCs w:val="24"/>
              </w:rPr>
            </w:pPr>
            <w:r w:rsidRPr="00BF70ED">
              <w:rPr>
                <w:rFonts w:cstheme="minorHAnsi"/>
                <w:sz w:val="20"/>
                <w:szCs w:val="24"/>
              </w:rPr>
              <w:t>304</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7F764A1D" w14:textId="55E0F7A8" w:rsidR="005739B7" w:rsidRPr="00BF70ED" w:rsidRDefault="005739B7" w:rsidP="00EC3288">
            <w:pPr>
              <w:spacing w:after="0"/>
              <w:jc w:val="center"/>
              <w:rPr>
                <w:rFonts w:cstheme="minorHAnsi"/>
                <w:sz w:val="20"/>
                <w:szCs w:val="24"/>
              </w:rPr>
            </w:pPr>
            <w:r w:rsidRPr="00BF70ED">
              <w:rPr>
                <w:rFonts w:cstheme="minorHAnsi"/>
                <w:sz w:val="20"/>
                <w:szCs w:val="24"/>
              </w:rPr>
              <w:t>31</w:t>
            </w:r>
            <w:r w:rsidR="00D67076">
              <w:rPr>
                <w:rFonts w:cstheme="minorHAnsi"/>
                <w:sz w:val="20"/>
                <w:szCs w:val="24"/>
              </w:rPr>
              <w:t>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8062C7F" w14:textId="77777777" w:rsidR="005739B7" w:rsidRPr="00BF70ED" w:rsidRDefault="005739B7" w:rsidP="00EC3288">
            <w:pPr>
              <w:spacing w:after="0"/>
              <w:jc w:val="center"/>
              <w:rPr>
                <w:rFonts w:cstheme="minorHAnsi"/>
                <w:sz w:val="20"/>
                <w:szCs w:val="24"/>
              </w:rPr>
            </w:pPr>
            <w:r w:rsidRPr="00BF70ED">
              <w:rPr>
                <w:rFonts w:cstheme="minorHAnsi"/>
                <w:sz w:val="20"/>
                <w:szCs w:val="24"/>
              </w:rPr>
              <w:t>317</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1FE60EFB" w14:textId="3289D92D" w:rsidR="005739B7" w:rsidRPr="00BF70ED" w:rsidRDefault="005739B7" w:rsidP="00EC3288">
            <w:pPr>
              <w:spacing w:after="0"/>
              <w:jc w:val="center"/>
              <w:rPr>
                <w:rFonts w:cstheme="minorHAnsi"/>
                <w:sz w:val="20"/>
                <w:szCs w:val="24"/>
              </w:rPr>
            </w:pPr>
            <w:r w:rsidRPr="00BF70ED">
              <w:rPr>
                <w:rFonts w:cstheme="minorHAnsi"/>
                <w:sz w:val="20"/>
                <w:szCs w:val="24"/>
              </w:rPr>
              <w:t>2.0</w:t>
            </w:r>
            <w:r w:rsidR="00BF35E3">
              <w:rPr>
                <w:rFonts w:cstheme="minorHAnsi"/>
                <w:sz w:val="20"/>
                <w:szCs w:val="24"/>
              </w:rPr>
              <w:t>89</w:t>
            </w:r>
          </w:p>
        </w:tc>
      </w:tr>
      <w:tr w:rsidR="005739B7" w:rsidRPr="00BF70ED" w14:paraId="6B2901A9" w14:textId="77777777" w:rsidTr="00EC3288">
        <w:trPr>
          <w:trHeight w:val="709"/>
        </w:trPr>
        <w:tc>
          <w:tcPr>
            <w:tcW w:w="3979" w:type="dxa"/>
            <w:tcBorders>
              <w:top w:val="nil"/>
              <w:left w:val="single" w:sz="8" w:space="0" w:color="auto"/>
              <w:bottom w:val="single" w:sz="4" w:space="0" w:color="auto"/>
              <w:right w:val="single" w:sz="8" w:space="0" w:color="auto"/>
            </w:tcBorders>
            <w:shd w:val="clear" w:color="auto" w:fill="auto"/>
            <w:vAlign w:val="center"/>
            <w:hideMark/>
          </w:tcPr>
          <w:p w14:paraId="4D9CCC87" w14:textId="77777777" w:rsidR="005739B7" w:rsidRPr="00BF70ED" w:rsidRDefault="005739B7" w:rsidP="00EC3288">
            <w:pPr>
              <w:spacing w:after="0" w:line="240" w:lineRule="auto"/>
              <w:rPr>
                <w:rFonts w:eastAsia="Times New Roman" w:cstheme="minorHAnsi"/>
                <w:color w:val="000000"/>
                <w:sz w:val="20"/>
                <w:szCs w:val="24"/>
                <w:lang w:eastAsia="fr-BE"/>
              </w:rPr>
            </w:pPr>
            <w:r w:rsidRPr="00BF70ED">
              <w:rPr>
                <w:rFonts w:eastAsia="Times New Roman" w:cstheme="minorHAnsi"/>
                <w:b/>
                <w:bCs/>
                <w:color w:val="000000"/>
                <w:sz w:val="20"/>
                <w:szCs w:val="24"/>
                <w:lang w:eastAsia="fr-BE"/>
              </w:rPr>
              <w:t>Window 2</w:t>
            </w:r>
            <w:r w:rsidRPr="00BF70ED">
              <w:rPr>
                <w:rFonts w:eastAsia="Times New Roman" w:cstheme="minorHAnsi"/>
                <w:color w:val="000000"/>
                <w:sz w:val="20"/>
                <w:szCs w:val="24"/>
                <w:lang w:eastAsia="fr-BE"/>
              </w:rPr>
              <w:t xml:space="preserve">: Good governance, </w:t>
            </w:r>
            <w:r>
              <w:rPr>
                <w:rFonts w:eastAsia="Times New Roman" w:cstheme="minorHAnsi"/>
                <w:color w:val="000000"/>
                <w:sz w:val="20"/>
                <w:szCs w:val="24"/>
                <w:lang w:eastAsia="fr-BE"/>
              </w:rPr>
              <w:t xml:space="preserve">EU </w:t>
            </w:r>
            <w:r w:rsidRPr="009F6272">
              <w:rPr>
                <w:rFonts w:eastAsia="Times New Roman" w:cstheme="minorHAnsi"/>
                <w:i/>
                <w:color w:val="000000"/>
                <w:sz w:val="20"/>
                <w:szCs w:val="24"/>
                <w:lang w:eastAsia="fr-BE"/>
              </w:rPr>
              <w:t>acquis</w:t>
            </w:r>
            <w:r w:rsidRPr="00BF70ED">
              <w:rPr>
                <w:rFonts w:eastAsia="Times New Roman" w:cstheme="minorHAnsi"/>
                <w:color w:val="000000"/>
                <w:sz w:val="20"/>
                <w:szCs w:val="24"/>
                <w:lang w:eastAsia="fr-BE"/>
              </w:rPr>
              <w:t xml:space="preserve"> alignment, good neighbourly relations and strategic communication</w:t>
            </w:r>
          </w:p>
        </w:tc>
        <w:tc>
          <w:tcPr>
            <w:tcW w:w="165" w:type="dxa"/>
            <w:tcBorders>
              <w:top w:val="nil"/>
              <w:left w:val="nil"/>
              <w:bottom w:val="nil"/>
              <w:right w:val="nil"/>
            </w:tcBorders>
            <w:shd w:val="clear" w:color="auto" w:fill="auto"/>
            <w:noWrap/>
            <w:vAlign w:val="bottom"/>
            <w:hideMark/>
          </w:tcPr>
          <w:p w14:paraId="135F2FFC" w14:textId="77777777" w:rsidR="005739B7" w:rsidRPr="00BF70ED" w:rsidRDefault="005739B7" w:rsidP="00EC3288">
            <w:pPr>
              <w:spacing w:after="0" w:line="240" w:lineRule="auto"/>
              <w:rPr>
                <w:rFonts w:eastAsia="Times New Roman" w:cstheme="minorHAnsi"/>
                <w:color w:val="000000"/>
                <w:sz w:val="20"/>
                <w:szCs w:val="24"/>
                <w:lang w:eastAsia="fr-BE"/>
              </w:rPr>
            </w:pPr>
          </w:p>
        </w:tc>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45C0A153" w14:textId="77777777" w:rsidR="005739B7" w:rsidRPr="00BF70ED" w:rsidRDefault="005739B7" w:rsidP="00EC3288">
            <w:pPr>
              <w:spacing w:after="0"/>
              <w:jc w:val="center"/>
              <w:rPr>
                <w:rFonts w:cstheme="minorHAnsi"/>
                <w:sz w:val="20"/>
                <w:szCs w:val="24"/>
              </w:rPr>
            </w:pPr>
            <w:r w:rsidRPr="00BF70ED">
              <w:rPr>
                <w:rFonts w:cstheme="minorHAnsi"/>
                <w:sz w:val="20"/>
                <w:szCs w:val="24"/>
              </w:rPr>
              <w:t>16,59%</w:t>
            </w:r>
          </w:p>
        </w:tc>
        <w:tc>
          <w:tcPr>
            <w:tcW w:w="1100" w:type="dxa"/>
            <w:tcBorders>
              <w:top w:val="nil"/>
              <w:left w:val="nil"/>
              <w:bottom w:val="single" w:sz="4" w:space="0" w:color="auto"/>
              <w:right w:val="single" w:sz="4" w:space="0" w:color="auto"/>
            </w:tcBorders>
            <w:shd w:val="clear" w:color="auto" w:fill="auto"/>
            <w:noWrap/>
            <w:vAlign w:val="center"/>
            <w:hideMark/>
          </w:tcPr>
          <w:p w14:paraId="09F9D1A3" w14:textId="77777777" w:rsidR="005739B7" w:rsidRPr="00BF70ED" w:rsidRDefault="005739B7" w:rsidP="00EC3288">
            <w:pPr>
              <w:spacing w:after="0"/>
              <w:jc w:val="center"/>
              <w:rPr>
                <w:rFonts w:cstheme="minorHAnsi"/>
                <w:sz w:val="20"/>
                <w:szCs w:val="24"/>
              </w:rPr>
            </w:pPr>
            <w:r w:rsidRPr="00BF70ED">
              <w:rPr>
                <w:rFonts w:cstheme="minorHAnsi"/>
                <w:sz w:val="20"/>
                <w:szCs w:val="24"/>
              </w:rPr>
              <w:t>308</w:t>
            </w:r>
          </w:p>
        </w:tc>
        <w:tc>
          <w:tcPr>
            <w:tcW w:w="1101" w:type="dxa"/>
            <w:tcBorders>
              <w:top w:val="nil"/>
              <w:left w:val="nil"/>
              <w:bottom w:val="single" w:sz="4" w:space="0" w:color="auto"/>
              <w:right w:val="single" w:sz="4" w:space="0" w:color="auto"/>
            </w:tcBorders>
            <w:shd w:val="clear" w:color="auto" w:fill="auto"/>
            <w:noWrap/>
            <w:vAlign w:val="center"/>
            <w:hideMark/>
          </w:tcPr>
          <w:p w14:paraId="4FEBFD95" w14:textId="6D5D5176" w:rsidR="005739B7" w:rsidRPr="00BF70ED" w:rsidRDefault="005739B7" w:rsidP="00EC3288">
            <w:pPr>
              <w:spacing w:after="0"/>
              <w:jc w:val="center"/>
              <w:rPr>
                <w:rFonts w:cstheme="minorHAnsi"/>
                <w:sz w:val="20"/>
                <w:szCs w:val="24"/>
              </w:rPr>
            </w:pPr>
            <w:r w:rsidRPr="00BF70ED">
              <w:rPr>
                <w:rFonts w:cstheme="minorHAnsi"/>
                <w:sz w:val="20"/>
                <w:szCs w:val="24"/>
              </w:rPr>
              <w:t>31</w:t>
            </w:r>
            <w:r w:rsidR="0001675C">
              <w:rPr>
                <w:rFonts w:cstheme="minorHAnsi"/>
                <w:sz w:val="20"/>
                <w:szCs w:val="24"/>
              </w:rPr>
              <w:t>4</w:t>
            </w:r>
          </w:p>
        </w:tc>
        <w:tc>
          <w:tcPr>
            <w:tcW w:w="1100" w:type="dxa"/>
            <w:tcBorders>
              <w:top w:val="nil"/>
              <w:left w:val="nil"/>
              <w:bottom w:val="single" w:sz="4" w:space="0" w:color="auto"/>
              <w:right w:val="single" w:sz="4" w:space="0" w:color="auto"/>
            </w:tcBorders>
            <w:shd w:val="clear" w:color="auto" w:fill="auto"/>
            <w:noWrap/>
            <w:vAlign w:val="center"/>
            <w:hideMark/>
          </w:tcPr>
          <w:p w14:paraId="2B6C0CC7" w14:textId="77777777" w:rsidR="005739B7" w:rsidRPr="00BF70ED" w:rsidRDefault="005739B7" w:rsidP="00EC3288">
            <w:pPr>
              <w:spacing w:after="0"/>
              <w:jc w:val="center"/>
              <w:rPr>
                <w:rFonts w:cstheme="minorHAnsi"/>
                <w:sz w:val="20"/>
                <w:szCs w:val="24"/>
              </w:rPr>
            </w:pPr>
            <w:r w:rsidRPr="00BF70ED">
              <w:rPr>
                <w:rFonts w:cstheme="minorHAnsi"/>
                <w:sz w:val="20"/>
                <w:szCs w:val="24"/>
              </w:rPr>
              <w:t>321</w:t>
            </w:r>
          </w:p>
        </w:tc>
        <w:tc>
          <w:tcPr>
            <w:tcW w:w="1101" w:type="dxa"/>
            <w:tcBorders>
              <w:top w:val="nil"/>
              <w:left w:val="nil"/>
              <w:bottom w:val="single" w:sz="4" w:space="0" w:color="auto"/>
              <w:right w:val="single" w:sz="4" w:space="0" w:color="auto"/>
            </w:tcBorders>
            <w:shd w:val="clear" w:color="auto" w:fill="auto"/>
            <w:noWrap/>
            <w:vAlign w:val="center"/>
            <w:hideMark/>
          </w:tcPr>
          <w:p w14:paraId="6B330B5A" w14:textId="77777777" w:rsidR="005739B7" w:rsidRPr="00BF70ED" w:rsidRDefault="005739B7" w:rsidP="00EC3288">
            <w:pPr>
              <w:spacing w:after="0"/>
              <w:jc w:val="center"/>
              <w:rPr>
                <w:rFonts w:cstheme="minorHAnsi"/>
                <w:sz w:val="20"/>
                <w:szCs w:val="24"/>
              </w:rPr>
            </w:pPr>
            <w:r w:rsidRPr="00BF70ED">
              <w:rPr>
                <w:rFonts w:cstheme="minorHAnsi"/>
                <w:sz w:val="20"/>
                <w:szCs w:val="24"/>
              </w:rPr>
              <w:t>327</w:t>
            </w:r>
          </w:p>
        </w:tc>
        <w:tc>
          <w:tcPr>
            <w:tcW w:w="1100" w:type="dxa"/>
            <w:tcBorders>
              <w:top w:val="nil"/>
              <w:left w:val="nil"/>
              <w:bottom w:val="single" w:sz="4" w:space="0" w:color="auto"/>
              <w:right w:val="single" w:sz="4" w:space="0" w:color="auto"/>
            </w:tcBorders>
            <w:shd w:val="clear" w:color="auto" w:fill="auto"/>
            <w:noWrap/>
            <w:vAlign w:val="center"/>
            <w:hideMark/>
          </w:tcPr>
          <w:p w14:paraId="20476C77" w14:textId="300B0BF6" w:rsidR="005739B7" w:rsidRPr="00BF70ED" w:rsidRDefault="005739B7" w:rsidP="00EC3288">
            <w:pPr>
              <w:spacing w:after="0"/>
              <w:jc w:val="center"/>
              <w:rPr>
                <w:rFonts w:cstheme="minorHAnsi"/>
                <w:sz w:val="20"/>
                <w:szCs w:val="24"/>
              </w:rPr>
            </w:pPr>
            <w:r w:rsidRPr="00BF70ED">
              <w:rPr>
                <w:rFonts w:cstheme="minorHAnsi"/>
                <w:sz w:val="20"/>
                <w:szCs w:val="24"/>
              </w:rPr>
              <w:t>33</w:t>
            </w:r>
            <w:r w:rsidR="00D67076">
              <w:rPr>
                <w:rFonts w:cstheme="minorHAnsi"/>
                <w:sz w:val="20"/>
                <w:szCs w:val="24"/>
              </w:rPr>
              <w:t>3</w:t>
            </w:r>
          </w:p>
        </w:tc>
        <w:tc>
          <w:tcPr>
            <w:tcW w:w="1101" w:type="dxa"/>
            <w:tcBorders>
              <w:top w:val="nil"/>
              <w:left w:val="nil"/>
              <w:bottom w:val="single" w:sz="4" w:space="0" w:color="auto"/>
              <w:right w:val="single" w:sz="4" w:space="0" w:color="auto"/>
            </w:tcBorders>
            <w:shd w:val="clear" w:color="auto" w:fill="auto"/>
            <w:noWrap/>
            <w:vAlign w:val="center"/>
            <w:hideMark/>
          </w:tcPr>
          <w:p w14:paraId="6F18D2F1" w14:textId="32D6AC04" w:rsidR="005739B7" w:rsidRPr="00BF70ED" w:rsidRDefault="005739B7" w:rsidP="00EC3288">
            <w:pPr>
              <w:spacing w:after="0"/>
              <w:jc w:val="center"/>
              <w:rPr>
                <w:rFonts w:cstheme="minorHAnsi"/>
                <w:sz w:val="20"/>
                <w:szCs w:val="24"/>
              </w:rPr>
            </w:pPr>
            <w:r w:rsidRPr="00BF70ED">
              <w:rPr>
                <w:rFonts w:cstheme="minorHAnsi"/>
                <w:sz w:val="20"/>
                <w:szCs w:val="24"/>
              </w:rPr>
              <w:t>34</w:t>
            </w:r>
            <w:r w:rsidR="00D67076">
              <w:rPr>
                <w:rFonts w:cstheme="minorHAnsi"/>
                <w:sz w:val="20"/>
                <w:szCs w:val="24"/>
              </w:rPr>
              <w:t>0</w:t>
            </w:r>
          </w:p>
        </w:tc>
        <w:tc>
          <w:tcPr>
            <w:tcW w:w="1100" w:type="dxa"/>
            <w:tcBorders>
              <w:top w:val="nil"/>
              <w:left w:val="nil"/>
              <w:bottom w:val="single" w:sz="4" w:space="0" w:color="auto"/>
              <w:right w:val="single" w:sz="4" w:space="0" w:color="auto"/>
            </w:tcBorders>
            <w:shd w:val="clear" w:color="auto" w:fill="auto"/>
            <w:noWrap/>
            <w:vAlign w:val="center"/>
            <w:hideMark/>
          </w:tcPr>
          <w:p w14:paraId="26614CDB" w14:textId="7091F283" w:rsidR="005739B7" w:rsidRPr="00BF70ED" w:rsidRDefault="005739B7" w:rsidP="00EC3288">
            <w:pPr>
              <w:spacing w:after="0"/>
              <w:jc w:val="center"/>
              <w:rPr>
                <w:rFonts w:cstheme="minorHAnsi"/>
                <w:sz w:val="20"/>
                <w:szCs w:val="24"/>
              </w:rPr>
            </w:pPr>
            <w:r w:rsidRPr="00BF70ED">
              <w:rPr>
                <w:rFonts w:cstheme="minorHAnsi"/>
                <w:sz w:val="20"/>
                <w:szCs w:val="24"/>
              </w:rPr>
              <w:t>34</w:t>
            </w:r>
            <w:r w:rsidR="00D67076">
              <w:rPr>
                <w:rFonts w:cstheme="minorHAnsi"/>
                <w:sz w:val="20"/>
                <w:szCs w:val="24"/>
              </w:rPr>
              <w:t>7</w:t>
            </w:r>
          </w:p>
        </w:tc>
        <w:tc>
          <w:tcPr>
            <w:tcW w:w="1101" w:type="dxa"/>
            <w:tcBorders>
              <w:top w:val="nil"/>
              <w:left w:val="nil"/>
              <w:bottom w:val="single" w:sz="4" w:space="0" w:color="auto"/>
              <w:right w:val="single" w:sz="4" w:space="0" w:color="auto"/>
            </w:tcBorders>
            <w:shd w:val="clear" w:color="auto" w:fill="auto"/>
            <w:noWrap/>
            <w:vAlign w:val="center"/>
            <w:hideMark/>
          </w:tcPr>
          <w:p w14:paraId="7DCE3736" w14:textId="2A117C5C" w:rsidR="005739B7" w:rsidRPr="00BF70ED" w:rsidRDefault="005739B7" w:rsidP="00EC3288">
            <w:pPr>
              <w:spacing w:after="0"/>
              <w:jc w:val="center"/>
              <w:rPr>
                <w:rFonts w:cstheme="minorHAnsi"/>
                <w:sz w:val="20"/>
                <w:szCs w:val="24"/>
              </w:rPr>
            </w:pPr>
            <w:r w:rsidRPr="00BF70ED">
              <w:rPr>
                <w:rFonts w:cstheme="minorHAnsi"/>
                <w:sz w:val="20"/>
                <w:szCs w:val="24"/>
              </w:rPr>
              <w:t>2.29</w:t>
            </w:r>
            <w:r w:rsidR="00BF35E3">
              <w:rPr>
                <w:rFonts w:cstheme="minorHAnsi"/>
                <w:sz w:val="20"/>
                <w:szCs w:val="24"/>
              </w:rPr>
              <w:t>1</w:t>
            </w:r>
          </w:p>
        </w:tc>
      </w:tr>
      <w:tr w:rsidR="005739B7" w:rsidRPr="00BF70ED" w14:paraId="0D06EEF6" w14:textId="77777777" w:rsidTr="00EC3288">
        <w:trPr>
          <w:trHeight w:val="678"/>
        </w:trPr>
        <w:tc>
          <w:tcPr>
            <w:tcW w:w="3979" w:type="dxa"/>
            <w:tcBorders>
              <w:top w:val="nil"/>
              <w:left w:val="single" w:sz="8" w:space="0" w:color="auto"/>
              <w:bottom w:val="single" w:sz="4" w:space="0" w:color="auto"/>
              <w:right w:val="single" w:sz="8" w:space="0" w:color="auto"/>
            </w:tcBorders>
            <w:shd w:val="clear" w:color="auto" w:fill="auto"/>
            <w:vAlign w:val="center"/>
            <w:hideMark/>
          </w:tcPr>
          <w:p w14:paraId="1F3191BB" w14:textId="77777777" w:rsidR="005739B7" w:rsidRPr="00BF70ED" w:rsidRDefault="005739B7" w:rsidP="00EC3288">
            <w:pPr>
              <w:spacing w:after="0" w:line="240" w:lineRule="auto"/>
              <w:rPr>
                <w:rFonts w:eastAsia="Times New Roman" w:cstheme="minorHAnsi"/>
                <w:color w:val="000000"/>
                <w:sz w:val="20"/>
                <w:szCs w:val="24"/>
                <w:lang w:eastAsia="fr-BE"/>
              </w:rPr>
            </w:pPr>
            <w:r w:rsidRPr="00BF70ED">
              <w:rPr>
                <w:rFonts w:eastAsia="Times New Roman" w:cstheme="minorHAnsi"/>
                <w:b/>
                <w:bCs/>
                <w:color w:val="000000"/>
                <w:sz w:val="20"/>
                <w:szCs w:val="24"/>
                <w:lang w:eastAsia="fr-BE"/>
              </w:rPr>
              <w:t>Window 3</w:t>
            </w:r>
            <w:r w:rsidRPr="00BF70ED">
              <w:rPr>
                <w:rFonts w:eastAsia="Times New Roman" w:cstheme="minorHAnsi"/>
                <w:color w:val="000000"/>
                <w:sz w:val="20"/>
                <w:szCs w:val="24"/>
                <w:lang w:eastAsia="fr-BE"/>
              </w:rPr>
              <w:t>: Green agenda and sustainable connectivity</w:t>
            </w:r>
          </w:p>
        </w:tc>
        <w:tc>
          <w:tcPr>
            <w:tcW w:w="165" w:type="dxa"/>
            <w:tcBorders>
              <w:top w:val="nil"/>
              <w:left w:val="nil"/>
              <w:bottom w:val="nil"/>
              <w:right w:val="nil"/>
            </w:tcBorders>
            <w:shd w:val="clear" w:color="auto" w:fill="auto"/>
            <w:noWrap/>
            <w:vAlign w:val="bottom"/>
            <w:hideMark/>
          </w:tcPr>
          <w:p w14:paraId="4BB0649C" w14:textId="77777777" w:rsidR="005739B7" w:rsidRPr="00BF70ED" w:rsidRDefault="005739B7" w:rsidP="00EC3288">
            <w:pPr>
              <w:spacing w:after="0" w:line="240" w:lineRule="auto"/>
              <w:rPr>
                <w:rFonts w:eastAsia="Times New Roman" w:cstheme="minorHAnsi"/>
                <w:color w:val="000000"/>
                <w:sz w:val="20"/>
                <w:szCs w:val="24"/>
                <w:lang w:eastAsia="fr-BE"/>
              </w:rPr>
            </w:pPr>
          </w:p>
        </w:tc>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49109EEC" w14:textId="77777777" w:rsidR="005739B7" w:rsidRPr="00BF70ED" w:rsidRDefault="005739B7" w:rsidP="00EC3288">
            <w:pPr>
              <w:spacing w:after="0"/>
              <w:jc w:val="center"/>
              <w:rPr>
                <w:rFonts w:cstheme="minorHAnsi"/>
                <w:sz w:val="20"/>
                <w:szCs w:val="24"/>
              </w:rPr>
            </w:pPr>
            <w:r w:rsidRPr="00BF70ED">
              <w:rPr>
                <w:rFonts w:cstheme="minorHAnsi"/>
                <w:sz w:val="20"/>
                <w:szCs w:val="24"/>
              </w:rPr>
              <w:t>42,45%</w:t>
            </w:r>
          </w:p>
        </w:tc>
        <w:tc>
          <w:tcPr>
            <w:tcW w:w="1100" w:type="dxa"/>
            <w:tcBorders>
              <w:top w:val="nil"/>
              <w:left w:val="nil"/>
              <w:bottom w:val="single" w:sz="4" w:space="0" w:color="auto"/>
              <w:right w:val="single" w:sz="4" w:space="0" w:color="auto"/>
            </w:tcBorders>
            <w:shd w:val="clear" w:color="auto" w:fill="auto"/>
            <w:noWrap/>
            <w:vAlign w:val="center"/>
            <w:hideMark/>
          </w:tcPr>
          <w:p w14:paraId="1DAD8CF1" w14:textId="7BDC9721" w:rsidR="005739B7" w:rsidRPr="00BF70ED" w:rsidRDefault="005739B7" w:rsidP="00EC3288">
            <w:pPr>
              <w:spacing w:after="0"/>
              <w:jc w:val="center"/>
              <w:rPr>
                <w:rFonts w:cstheme="minorHAnsi"/>
                <w:sz w:val="20"/>
                <w:szCs w:val="24"/>
              </w:rPr>
            </w:pPr>
            <w:r w:rsidRPr="00BF70ED">
              <w:rPr>
                <w:rFonts w:cstheme="minorHAnsi"/>
                <w:sz w:val="20"/>
                <w:szCs w:val="24"/>
              </w:rPr>
              <w:t>78</w:t>
            </w:r>
            <w:r w:rsidR="0001675C">
              <w:rPr>
                <w:rFonts w:cstheme="minorHAnsi"/>
                <w:sz w:val="20"/>
                <w:szCs w:val="24"/>
              </w:rPr>
              <w:t>8</w:t>
            </w:r>
          </w:p>
        </w:tc>
        <w:tc>
          <w:tcPr>
            <w:tcW w:w="1101" w:type="dxa"/>
            <w:tcBorders>
              <w:top w:val="nil"/>
              <w:left w:val="nil"/>
              <w:bottom w:val="single" w:sz="4" w:space="0" w:color="auto"/>
              <w:right w:val="single" w:sz="4" w:space="0" w:color="auto"/>
            </w:tcBorders>
            <w:shd w:val="clear" w:color="auto" w:fill="auto"/>
            <w:noWrap/>
            <w:vAlign w:val="center"/>
            <w:hideMark/>
          </w:tcPr>
          <w:p w14:paraId="2604BEC9" w14:textId="589ED8A7" w:rsidR="005739B7" w:rsidRPr="00BF70ED" w:rsidRDefault="005739B7" w:rsidP="00EC3288">
            <w:pPr>
              <w:spacing w:after="0"/>
              <w:jc w:val="center"/>
              <w:rPr>
                <w:rFonts w:cstheme="minorHAnsi"/>
                <w:sz w:val="20"/>
                <w:szCs w:val="24"/>
              </w:rPr>
            </w:pPr>
            <w:r w:rsidRPr="00BF70ED">
              <w:rPr>
                <w:rFonts w:cstheme="minorHAnsi"/>
                <w:sz w:val="20"/>
                <w:szCs w:val="24"/>
              </w:rPr>
              <w:t>80</w:t>
            </w:r>
            <w:r w:rsidR="0001675C">
              <w:rPr>
                <w:rFonts w:cstheme="minorHAnsi"/>
                <w:sz w:val="20"/>
                <w:szCs w:val="24"/>
              </w:rPr>
              <w:t>4</w:t>
            </w:r>
          </w:p>
        </w:tc>
        <w:tc>
          <w:tcPr>
            <w:tcW w:w="1100" w:type="dxa"/>
            <w:tcBorders>
              <w:top w:val="nil"/>
              <w:left w:val="nil"/>
              <w:bottom w:val="single" w:sz="4" w:space="0" w:color="auto"/>
              <w:right w:val="single" w:sz="4" w:space="0" w:color="auto"/>
            </w:tcBorders>
            <w:shd w:val="clear" w:color="auto" w:fill="auto"/>
            <w:noWrap/>
            <w:vAlign w:val="center"/>
            <w:hideMark/>
          </w:tcPr>
          <w:p w14:paraId="1F17F891" w14:textId="60EA6EAF" w:rsidR="005739B7" w:rsidRPr="00BF70ED" w:rsidRDefault="005739B7" w:rsidP="00EC3288">
            <w:pPr>
              <w:spacing w:after="0"/>
              <w:jc w:val="center"/>
              <w:rPr>
                <w:rFonts w:cstheme="minorHAnsi"/>
                <w:sz w:val="20"/>
                <w:szCs w:val="24"/>
              </w:rPr>
            </w:pPr>
            <w:r w:rsidRPr="00BF70ED">
              <w:rPr>
                <w:rFonts w:cstheme="minorHAnsi"/>
                <w:sz w:val="20"/>
                <w:szCs w:val="24"/>
              </w:rPr>
              <w:t>82</w:t>
            </w:r>
            <w:r w:rsidR="0001675C">
              <w:rPr>
                <w:rFonts w:cstheme="minorHAnsi"/>
                <w:sz w:val="20"/>
                <w:szCs w:val="24"/>
              </w:rPr>
              <w:t>0</w:t>
            </w:r>
          </w:p>
        </w:tc>
        <w:tc>
          <w:tcPr>
            <w:tcW w:w="1101" w:type="dxa"/>
            <w:tcBorders>
              <w:top w:val="nil"/>
              <w:left w:val="nil"/>
              <w:bottom w:val="single" w:sz="4" w:space="0" w:color="auto"/>
              <w:right w:val="single" w:sz="4" w:space="0" w:color="auto"/>
            </w:tcBorders>
            <w:shd w:val="clear" w:color="auto" w:fill="auto"/>
            <w:noWrap/>
            <w:vAlign w:val="center"/>
            <w:hideMark/>
          </w:tcPr>
          <w:p w14:paraId="75A79A74" w14:textId="77777777" w:rsidR="005739B7" w:rsidRPr="00BF70ED" w:rsidRDefault="005739B7" w:rsidP="00EC3288">
            <w:pPr>
              <w:spacing w:after="0"/>
              <w:jc w:val="center"/>
              <w:rPr>
                <w:rFonts w:cstheme="minorHAnsi"/>
                <w:sz w:val="20"/>
                <w:szCs w:val="24"/>
              </w:rPr>
            </w:pPr>
            <w:r w:rsidRPr="00BF70ED">
              <w:rPr>
                <w:rFonts w:cstheme="minorHAnsi"/>
                <w:sz w:val="20"/>
                <w:szCs w:val="24"/>
              </w:rPr>
              <w:t>837</w:t>
            </w:r>
          </w:p>
        </w:tc>
        <w:tc>
          <w:tcPr>
            <w:tcW w:w="1100" w:type="dxa"/>
            <w:tcBorders>
              <w:top w:val="nil"/>
              <w:left w:val="nil"/>
              <w:bottom w:val="single" w:sz="4" w:space="0" w:color="auto"/>
              <w:right w:val="single" w:sz="4" w:space="0" w:color="auto"/>
            </w:tcBorders>
            <w:shd w:val="clear" w:color="auto" w:fill="auto"/>
            <w:noWrap/>
            <w:vAlign w:val="center"/>
            <w:hideMark/>
          </w:tcPr>
          <w:p w14:paraId="39DD54CB" w14:textId="1CA51E9F" w:rsidR="005739B7" w:rsidRPr="00BF70ED" w:rsidRDefault="005739B7" w:rsidP="00EC3288">
            <w:pPr>
              <w:spacing w:after="0"/>
              <w:jc w:val="center"/>
              <w:rPr>
                <w:rFonts w:cstheme="minorHAnsi"/>
                <w:sz w:val="20"/>
                <w:szCs w:val="24"/>
              </w:rPr>
            </w:pPr>
            <w:r w:rsidRPr="00BF70ED">
              <w:rPr>
                <w:rFonts w:cstheme="minorHAnsi"/>
                <w:sz w:val="20"/>
                <w:szCs w:val="24"/>
              </w:rPr>
              <w:t>85</w:t>
            </w:r>
            <w:r w:rsidR="00D67076">
              <w:rPr>
                <w:rFonts w:cstheme="minorHAnsi"/>
                <w:sz w:val="20"/>
                <w:szCs w:val="24"/>
              </w:rPr>
              <w:t>3</w:t>
            </w:r>
          </w:p>
        </w:tc>
        <w:tc>
          <w:tcPr>
            <w:tcW w:w="1101" w:type="dxa"/>
            <w:tcBorders>
              <w:top w:val="nil"/>
              <w:left w:val="nil"/>
              <w:bottom w:val="single" w:sz="4" w:space="0" w:color="auto"/>
              <w:right w:val="single" w:sz="4" w:space="0" w:color="auto"/>
            </w:tcBorders>
            <w:shd w:val="clear" w:color="auto" w:fill="auto"/>
            <w:noWrap/>
            <w:vAlign w:val="center"/>
            <w:hideMark/>
          </w:tcPr>
          <w:p w14:paraId="7B0AC4F0" w14:textId="05947496" w:rsidR="005739B7" w:rsidRPr="00BF70ED" w:rsidRDefault="005739B7" w:rsidP="00EC3288">
            <w:pPr>
              <w:spacing w:after="0"/>
              <w:jc w:val="center"/>
              <w:rPr>
                <w:rFonts w:cstheme="minorHAnsi"/>
                <w:sz w:val="20"/>
                <w:szCs w:val="24"/>
              </w:rPr>
            </w:pPr>
            <w:r w:rsidRPr="00BF70ED">
              <w:rPr>
                <w:rFonts w:cstheme="minorHAnsi"/>
                <w:sz w:val="20"/>
                <w:szCs w:val="24"/>
              </w:rPr>
              <w:t>87</w:t>
            </w:r>
            <w:r w:rsidR="00D67076">
              <w:rPr>
                <w:rFonts w:cstheme="minorHAnsi"/>
                <w:sz w:val="20"/>
                <w:szCs w:val="24"/>
              </w:rPr>
              <w:t>0</w:t>
            </w:r>
          </w:p>
        </w:tc>
        <w:tc>
          <w:tcPr>
            <w:tcW w:w="1100" w:type="dxa"/>
            <w:tcBorders>
              <w:top w:val="nil"/>
              <w:left w:val="nil"/>
              <w:bottom w:val="single" w:sz="4" w:space="0" w:color="auto"/>
              <w:right w:val="single" w:sz="4" w:space="0" w:color="auto"/>
            </w:tcBorders>
            <w:shd w:val="clear" w:color="auto" w:fill="auto"/>
            <w:noWrap/>
            <w:vAlign w:val="center"/>
            <w:hideMark/>
          </w:tcPr>
          <w:p w14:paraId="6732192E" w14:textId="2B494229" w:rsidR="005739B7" w:rsidRPr="00BF70ED" w:rsidRDefault="005739B7" w:rsidP="00EC3288">
            <w:pPr>
              <w:spacing w:after="0"/>
              <w:jc w:val="center"/>
              <w:rPr>
                <w:rFonts w:cstheme="minorHAnsi"/>
                <w:sz w:val="20"/>
                <w:szCs w:val="24"/>
              </w:rPr>
            </w:pPr>
            <w:r w:rsidRPr="00BF70ED">
              <w:rPr>
                <w:rFonts w:cstheme="minorHAnsi"/>
                <w:sz w:val="20"/>
                <w:szCs w:val="24"/>
              </w:rPr>
              <w:t>88</w:t>
            </w:r>
            <w:r w:rsidR="00D67076">
              <w:rPr>
                <w:rFonts w:cstheme="minorHAnsi"/>
                <w:sz w:val="20"/>
                <w:szCs w:val="24"/>
              </w:rPr>
              <w:t>8</w:t>
            </w:r>
          </w:p>
        </w:tc>
        <w:tc>
          <w:tcPr>
            <w:tcW w:w="1101" w:type="dxa"/>
            <w:tcBorders>
              <w:top w:val="nil"/>
              <w:left w:val="nil"/>
              <w:bottom w:val="single" w:sz="4" w:space="0" w:color="auto"/>
              <w:right w:val="single" w:sz="4" w:space="0" w:color="auto"/>
            </w:tcBorders>
            <w:shd w:val="clear" w:color="auto" w:fill="auto"/>
            <w:noWrap/>
            <w:vAlign w:val="center"/>
            <w:hideMark/>
          </w:tcPr>
          <w:p w14:paraId="07FCEC6E" w14:textId="347BE40E" w:rsidR="005739B7" w:rsidRPr="00BF70ED" w:rsidRDefault="005739B7" w:rsidP="00EC3288">
            <w:pPr>
              <w:spacing w:after="0"/>
              <w:jc w:val="center"/>
              <w:rPr>
                <w:rFonts w:cstheme="minorHAnsi"/>
                <w:sz w:val="20"/>
                <w:szCs w:val="24"/>
              </w:rPr>
            </w:pPr>
            <w:r w:rsidRPr="00BF70ED">
              <w:rPr>
                <w:rFonts w:cstheme="minorHAnsi"/>
                <w:sz w:val="20"/>
                <w:szCs w:val="24"/>
              </w:rPr>
              <w:t>5.86</w:t>
            </w:r>
            <w:r w:rsidR="00BF35E3">
              <w:rPr>
                <w:rFonts w:cstheme="minorHAnsi"/>
                <w:sz w:val="20"/>
                <w:szCs w:val="24"/>
              </w:rPr>
              <w:t>0</w:t>
            </w:r>
          </w:p>
        </w:tc>
      </w:tr>
      <w:tr w:rsidR="005739B7" w:rsidRPr="00BF70ED" w14:paraId="457733A4" w14:textId="77777777" w:rsidTr="00EC3288">
        <w:trPr>
          <w:trHeight w:val="678"/>
        </w:trPr>
        <w:tc>
          <w:tcPr>
            <w:tcW w:w="3979" w:type="dxa"/>
            <w:tcBorders>
              <w:top w:val="nil"/>
              <w:left w:val="single" w:sz="8" w:space="0" w:color="auto"/>
              <w:bottom w:val="single" w:sz="4" w:space="0" w:color="auto"/>
              <w:right w:val="single" w:sz="8" w:space="0" w:color="auto"/>
            </w:tcBorders>
            <w:shd w:val="clear" w:color="auto" w:fill="auto"/>
            <w:vAlign w:val="center"/>
            <w:hideMark/>
          </w:tcPr>
          <w:p w14:paraId="5E0A1348" w14:textId="77777777" w:rsidR="005739B7" w:rsidRPr="00BF70ED" w:rsidRDefault="005739B7" w:rsidP="00EC3288">
            <w:pPr>
              <w:spacing w:after="0" w:line="240" w:lineRule="auto"/>
              <w:rPr>
                <w:rFonts w:eastAsia="Times New Roman" w:cstheme="minorHAnsi"/>
                <w:color w:val="000000"/>
                <w:sz w:val="20"/>
                <w:szCs w:val="24"/>
                <w:lang w:eastAsia="fr-BE"/>
              </w:rPr>
            </w:pPr>
            <w:r w:rsidRPr="00BF70ED">
              <w:rPr>
                <w:rFonts w:eastAsia="Times New Roman" w:cstheme="minorHAnsi"/>
                <w:b/>
                <w:bCs/>
                <w:color w:val="000000"/>
                <w:sz w:val="20"/>
                <w:szCs w:val="24"/>
                <w:lang w:eastAsia="fr-BE"/>
              </w:rPr>
              <w:t>Window 4</w:t>
            </w:r>
            <w:r w:rsidRPr="00BF70ED">
              <w:rPr>
                <w:rFonts w:eastAsia="Times New Roman" w:cstheme="minorHAnsi"/>
                <w:color w:val="000000"/>
                <w:sz w:val="20"/>
                <w:szCs w:val="24"/>
                <w:lang w:eastAsia="fr-BE"/>
              </w:rPr>
              <w:t>: Competitiveness and inclusive growth</w:t>
            </w:r>
          </w:p>
        </w:tc>
        <w:tc>
          <w:tcPr>
            <w:tcW w:w="165" w:type="dxa"/>
            <w:tcBorders>
              <w:top w:val="nil"/>
              <w:left w:val="nil"/>
              <w:bottom w:val="nil"/>
              <w:right w:val="nil"/>
            </w:tcBorders>
            <w:shd w:val="clear" w:color="auto" w:fill="auto"/>
            <w:noWrap/>
            <w:vAlign w:val="bottom"/>
            <w:hideMark/>
          </w:tcPr>
          <w:p w14:paraId="439288AC" w14:textId="77777777" w:rsidR="005739B7" w:rsidRPr="00BF70ED" w:rsidRDefault="005739B7" w:rsidP="00EC3288">
            <w:pPr>
              <w:spacing w:after="0" w:line="240" w:lineRule="auto"/>
              <w:rPr>
                <w:rFonts w:eastAsia="Times New Roman" w:cstheme="minorHAnsi"/>
                <w:color w:val="000000"/>
                <w:sz w:val="20"/>
                <w:szCs w:val="24"/>
                <w:lang w:eastAsia="fr-BE"/>
              </w:rPr>
            </w:pPr>
          </w:p>
        </w:tc>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67920E51" w14:textId="77777777" w:rsidR="005739B7" w:rsidRPr="00BF70ED" w:rsidRDefault="005739B7" w:rsidP="00EC3288">
            <w:pPr>
              <w:spacing w:after="0"/>
              <w:jc w:val="center"/>
              <w:rPr>
                <w:rFonts w:cstheme="minorHAnsi"/>
                <w:sz w:val="20"/>
                <w:szCs w:val="24"/>
              </w:rPr>
            </w:pPr>
            <w:r w:rsidRPr="00BF70ED">
              <w:rPr>
                <w:rFonts w:cstheme="minorHAnsi"/>
                <w:sz w:val="20"/>
                <w:szCs w:val="24"/>
              </w:rPr>
              <w:t>22,31%</w:t>
            </w:r>
          </w:p>
        </w:tc>
        <w:tc>
          <w:tcPr>
            <w:tcW w:w="1100" w:type="dxa"/>
            <w:tcBorders>
              <w:top w:val="nil"/>
              <w:left w:val="nil"/>
              <w:bottom w:val="single" w:sz="4" w:space="0" w:color="auto"/>
              <w:right w:val="single" w:sz="4" w:space="0" w:color="auto"/>
            </w:tcBorders>
            <w:shd w:val="clear" w:color="auto" w:fill="auto"/>
            <w:noWrap/>
            <w:vAlign w:val="center"/>
            <w:hideMark/>
          </w:tcPr>
          <w:p w14:paraId="693C1F7A" w14:textId="0FE8B9AA" w:rsidR="005739B7" w:rsidRPr="00BF70ED" w:rsidRDefault="005739B7" w:rsidP="00EC3288">
            <w:pPr>
              <w:spacing w:after="0"/>
              <w:jc w:val="center"/>
              <w:rPr>
                <w:rFonts w:cstheme="minorHAnsi"/>
                <w:sz w:val="20"/>
                <w:szCs w:val="24"/>
              </w:rPr>
            </w:pPr>
            <w:r w:rsidRPr="00BF70ED">
              <w:rPr>
                <w:rFonts w:cstheme="minorHAnsi"/>
                <w:sz w:val="20"/>
                <w:szCs w:val="24"/>
              </w:rPr>
              <w:t>41</w:t>
            </w:r>
            <w:r w:rsidR="0001675C">
              <w:rPr>
                <w:rFonts w:cstheme="minorHAnsi"/>
                <w:sz w:val="20"/>
                <w:szCs w:val="24"/>
              </w:rPr>
              <w:t>4</w:t>
            </w:r>
          </w:p>
        </w:tc>
        <w:tc>
          <w:tcPr>
            <w:tcW w:w="1101" w:type="dxa"/>
            <w:tcBorders>
              <w:top w:val="nil"/>
              <w:left w:val="nil"/>
              <w:bottom w:val="single" w:sz="4" w:space="0" w:color="auto"/>
              <w:right w:val="single" w:sz="4" w:space="0" w:color="auto"/>
            </w:tcBorders>
            <w:shd w:val="clear" w:color="auto" w:fill="auto"/>
            <w:noWrap/>
            <w:vAlign w:val="center"/>
            <w:hideMark/>
          </w:tcPr>
          <w:p w14:paraId="4290744C" w14:textId="6E277AA8" w:rsidR="005739B7" w:rsidRPr="00BF70ED" w:rsidRDefault="005739B7" w:rsidP="00EC3288">
            <w:pPr>
              <w:spacing w:after="0"/>
              <w:jc w:val="center"/>
              <w:rPr>
                <w:rFonts w:cstheme="minorHAnsi"/>
                <w:sz w:val="20"/>
                <w:szCs w:val="24"/>
              </w:rPr>
            </w:pPr>
            <w:r w:rsidRPr="00BF70ED">
              <w:rPr>
                <w:rFonts w:cstheme="minorHAnsi"/>
                <w:sz w:val="20"/>
                <w:szCs w:val="24"/>
              </w:rPr>
              <w:t>42</w:t>
            </w:r>
            <w:r w:rsidR="0001675C">
              <w:rPr>
                <w:rFonts w:cstheme="minorHAnsi"/>
                <w:sz w:val="20"/>
                <w:szCs w:val="24"/>
              </w:rPr>
              <w:t>2</w:t>
            </w:r>
          </w:p>
        </w:tc>
        <w:tc>
          <w:tcPr>
            <w:tcW w:w="1100" w:type="dxa"/>
            <w:tcBorders>
              <w:top w:val="nil"/>
              <w:left w:val="nil"/>
              <w:bottom w:val="single" w:sz="4" w:space="0" w:color="auto"/>
              <w:right w:val="single" w:sz="4" w:space="0" w:color="auto"/>
            </w:tcBorders>
            <w:shd w:val="clear" w:color="auto" w:fill="auto"/>
            <w:noWrap/>
            <w:vAlign w:val="center"/>
            <w:hideMark/>
          </w:tcPr>
          <w:p w14:paraId="3ACA4D71" w14:textId="7B997F4E" w:rsidR="005739B7" w:rsidRPr="00BF70ED" w:rsidRDefault="005739B7" w:rsidP="00EC3288">
            <w:pPr>
              <w:spacing w:after="0"/>
              <w:jc w:val="center"/>
              <w:rPr>
                <w:rFonts w:cstheme="minorHAnsi"/>
                <w:sz w:val="20"/>
                <w:szCs w:val="24"/>
              </w:rPr>
            </w:pPr>
            <w:r w:rsidRPr="00BF70ED">
              <w:rPr>
                <w:rFonts w:cstheme="minorHAnsi"/>
                <w:sz w:val="20"/>
                <w:szCs w:val="24"/>
              </w:rPr>
              <w:t>43</w:t>
            </w:r>
            <w:r w:rsidR="0001675C">
              <w:rPr>
                <w:rFonts w:cstheme="minorHAnsi"/>
                <w:sz w:val="20"/>
                <w:szCs w:val="24"/>
              </w:rPr>
              <w:t>1</w:t>
            </w:r>
          </w:p>
        </w:tc>
        <w:tc>
          <w:tcPr>
            <w:tcW w:w="1101" w:type="dxa"/>
            <w:tcBorders>
              <w:top w:val="nil"/>
              <w:left w:val="nil"/>
              <w:bottom w:val="single" w:sz="4" w:space="0" w:color="auto"/>
              <w:right w:val="single" w:sz="4" w:space="0" w:color="auto"/>
            </w:tcBorders>
            <w:shd w:val="clear" w:color="auto" w:fill="auto"/>
            <w:noWrap/>
            <w:vAlign w:val="center"/>
            <w:hideMark/>
          </w:tcPr>
          <w:p w14:paraId="7E09CCFA" w14:textId="77777777" w:rsidR="005739B7" w:rsidRPr="00BF70ED" w:rsidRDefault="005739B7" w:rsidP="00EC3288">
            <w:pPr>
              <w:spacing w:after="0"/>
              <w:jc w:val="center"/>
              <w:rPr>
                <w:rFonts w:cstheme="minorHAnsi"/>
                <w:sz w:val="20"/>
                <w:szCs w:val="24"/>
              </w:rPr>
            </w:pPr>
            <w:r w:rsidRPr="00BF70ED">
              <w:rPr>
                <w:rFonts w:cstheme="minorHAnsi"/>
                <w:sz w:val="20"/>
                <w:szCs w:val="24"/>
              </w:rPr>
              <w:t>440</w:t>
            </w:r>
          </w:p>
        </w:tc>
        <w:tc>
          <w:tcPr>
            <w:tcW w:w="1100" w:type="dxa"/>
            <w:tcBorders>
              <w:top w:val="nil"/>
              <w:left w:val="nil"/>
              <w:bottom w:val="single" w:sz="4" w:space="0" w:color="auto"/>
              <w:right w:val="single" w:sz="4" w:space="0" w:color="auto"/>
            </w:tcBorders>
            <w:shd w:val="clear" w:color="auto" w:fill="auto"/>
            <w:noWrap/>
            <w:vAlign w:val="center"/>
            <w:hideMark/>
          </w:tcPr>
          <w:p w14:paraId="5909865C" w14:textId="4AB5D257" w:rsidR="005739B7" w:rsidRPr="00BF70ED" w:rsidRDefault="005739B7" w:rsidP="00EC3288">
            <w:pPr>
              <w:spacing w:after="0"/>
              <w:jc w:val="center"/>
              <w:rPr>
                <w:rFonts w:cstheme="minorHAnsi"/>
                <w:sz w:val="20"/>
                <w:szCs w:val="24"/>
              </w:rPr>
            </w:pPr>
            <w:r w:rsidRPr="00BF70ED">
              <w:rPr>
                <w:rFonts w:cstheme="minorHAnsi"/>
                <w:sz w:val="20"/>
                <w:szCs w:val="24"/>
              </w:rPr>
              <w:t>44</w:t>
            </w:r>
            <w:r w:rsidR="00D67076">
              <w:rPr>
                <w:rFonts w:cstheme="minorHAnsi"/>
                <w:sz w:val="20"/>
                <w:szCs w:val="24"/>
              </w:rPr>
              <w:t>8</w:t>
            </w:r>
          </w:p>
        </w:tc>
        <w:tc>
          <w:tcPr>
            <w:tcW w:w="1101" w:type="dxa"/>
            <w:tcBorders>
              <w:top w:val="nil"/>
              <w:left w:val="nil"/>
              <w:bottom w:val="single" w:sz="4" w:space="0" w:color="auto"/>
              <w:right w:val="single" w:sz="4" w:space="0" w:color="auto"/>
            </w:tcBorders>
            <w:shd w:val="clear" w:color="auto" w:fill="auto"/>
            <w:noWrap/>
            <w:vAlign w:val="center"/>
            <w:hideMark/>
          </w:tcPr>
          <w:p w14:paraId="5D7454DB" w14:textId="3C5328F3" w:rsidR="005739B7" w:rsidRPr="00BF70ED" w:rsidRDefault="005739B7" w:rsidP="00EC3288">
            <w:pPr>
              <w:spacing w:after="0"/>
              <w:jc w:val="center"/>
              <w:rPr>
                <w:rFonts w:cstheme="minorHAnsi"/>
                <w:sz w:val="20"/>
                <w:szCs w:val="24"/>
              </w:rPr>
            </w:pPr>
            <w:r w:rsidRPr="00BF70ED">
              <w:rPr>
                <w:rFonts w:cstheme="minorHAnsi"/>
                <w:sz w:val="20"/>
                <w:szCs w:val="24"/>
              </w:rPr>
              <w:t>45</w:t>
            </w:r>
            <w:r w:rsidR="00D67076">
              <w:rPr>
                <w:rFonts w:cstheme="minorHAnsi"/>
                <w:sz w:val="20"/>
                <w:szCs w:val="24"/>
              </w:rPr>
              <w:t>7</w:t>
            </w:r>
          </w:p>
        </w:tc>
        <w:tc>
          <w:tcPr>
            <w:tcW w:w="1100" w:type="dxa"/>
            <w:tcBorders>
              <w:top w:val="nil"/>
              <w:left w:val="nil"/>
              <w:bottom w:val="single" w:sz="4" w:space="0" w:color="auto"/>
              <w:right w:val="single" w:sz="4" w:space="0" w:color="auto"/>
            </w:tcBorders>
            <w:shd w:val="clear" w:color="auto" w:fill="auto"/>
            <w:noWrap/>
            <w:vAlign w:val="center"/>
            <w:hideMark/>
          </w:tcPr>
          <w:p w14:paraId="52E842CE" w14:textId="77777777" w:rsidR="005739B7" w:rsidRPr="00BF70ED" w:rsidRDefault="005739B7" w:rsidP="00EC3288">
            <w:pPr>
              <w:spacing w:after="0"/>
              <w:jc w:val="center"/>
              <w:rPr>
                <w:rFonts w:cstheme="minorHAnsi"/>
                <w:sz w:val="20"/>
                <w:szCs w:val="24"/>
              </w:rPr>
            </w:pPr>
            <w:r w:rsidRPr="00BF70ED">
              <w:rPr>
                <w:rFonts w:cstheme="minorHAnsi"/>
                <w:sz w:val="20"/>
                <w:szCs w:val="24"/>
              </w:rPr>
              <w:t>467</w:t>
            </w:r>
          </w:p>
        </w:tc>
        <w:tc>
          <w:tcPr>
            <w:tcW w:w="1101" w:type="dxa"/>
            <w:tcBorders>
              <w:top w:val="nil"/>
              <w:left w:val="nil"/>
              <w:bottom w:val="single" w:sz="4" w:space="0" w:color="auto"/>
              <w:right w:val="single" w:sz="4" w:space="0" w:color="auto"/>
            </w:tcBorders>
            <w:shd w:val="clear" w:color="auto" w:fill="auto"/>
            <w:noWrap/>
            <w:vAlign w:val="center"/>
            <w:hideMark/>
          </w:tcPr>
          <w:p w14:paraId="3357AC3B" w14:textId="5D56C7D8" w:rsidR="005739B7" w:rsidRPr="00BF70ED" w:rsidRDefault="005739B7" w:rsidP="00EC3288">
            <w:pPr>
              <w:spacing w:after="0"/>
              <w:jc w:val="center"/>
              <w:rPr>
                <w:rFonts w:cstheme="minorHAnsi"/>
                <w:sz w:val="20"/>
                <w:szCs w:val="24"/>
              </w:rPr>
            </w:pPr>
            <w:r w:rsidRPr="00BF70ED">
              <w:rPr>
                <w:rFonts w:cstheme="minorHAnsi"/>
                <w:sz w:val="20"/>
                <w:szCs w:val="24"/>
              </w:rPr>
              <w:t>3.08</w:t>
            </w:r>
            <w:r w:rsidR="00BF35E3">
              <w:rPr>
                <w:rFonts w:cstheme="minorHAnsi"/>
                <w:sz w:val="20"/>
                <w:szCs w:val="24"/>
              </w:rPr>
              <w:t>0</w:t>
            </w:r>
          </w:p>
        </w:tc>
      </w:tr>
      <w:tr w:rsidR="005739B7" w:rsidRPr="00BF70ED" w14:paraId="0B7C17FE" w14:textId="77777777" w:rsidTr="00EC3288">
        <w:trPr>
          <w:trHeight w:val="687"/>
        </w:trPr>
        <w:tc>
          <w:tcPr>
            <w:tcW w:w="3979" w:type="dxa"/>
            <w:tcBorders>
              <w:top w:val="nil"/>
              <w:left w:val="single" w:sz="8" w:space="0" w:color="auto"/>
              <w:bottom w:val="single" w:sz="4" w:space="0" w:color="auto"/>
              <w:right w:val="single" w:sz="8" w:space="0" w:color="auto"/>
            </w:tcBorders>
            <w:shd w:val="clear" w:color="auto" w:fill="auto"/>
            <w:vAlign w:val="center"/>
            <w:hideMark/>
          </w:tcPr>
          <w:p w14:paraId="0904FD1D" w14:textId="77777777" w:rsidR="005739B7" w:rsidRPr="00BF70ED" w:rsidRDefault="005739B7" w:rsidP="00EC3288">
            <w:pPr>
              <w:spacing w:after="0" w:line="240" w:lineRule="auto"/>
              <w:rPr>
                <w:rFonts w:eastAsia="Times New Roman" w:cstheme="minorHAnsi"/>
                <w:color w:val="000000"/>
                <w:sz w:val="20"/>
                <w:szCs w:val="24"/>
                <w:lang w:eastAsia="fr-BE"/>
              </w:rPr>
            </w:pPr>
            <w:r w:rsidRPr="00BF70ED">
              <w:rPr>
                <w:rFonts w:eastAsia="Times New Roman" w:cstheme="minorHAnsi"/>
                <w:b/>
                <w:bCs/>
                <w:color w:val="000000"/>
                <w:sz w:val="20"/>
                <w:szCs w:val="24"/>
                <w:lang w:eastAsia="fr-BE"/>
              </w:rPr>
              <w:t>Window 5</w:t>
            </w:r>
            <w:r w:rsidRPr="00BF70ED">
              <w:rPr>
                <w:rFonts w:eastAsia="Times New Roman" w:cstheme="minorHAnsi"/>
                <w:color w:val="000000"/>
                <w:sz w:val="20"/>
                <w:szCs w:val="24"/>
                <w:lang w:eastAsia="fr-BE"/>
              </w:rPr>
              <w:t>: Territorial and cross-border cooperation</w:t>
            </w:r>
            <w:r w:rsidRPr="00BF70ED">
              <w:rPr>
                <w:rStyle w:val="DipnotBavurusu"/>
                <w:rFonts w:eastAsia="Times New Roman" w:cstheme="minorHAnsi"/>
                <w:color w:val="000000"/>
                <w:sz w:val="20"/>
                <w:szCs w:val="24"/>
                <w:lang w:eastAsia="fr-BE"/>
              </w:rPr>
              <w:footnoteReference w:id="50"/>
            </w:r>
          </w:p>
        </w:tc>
        <w:tc>
          <w:tcPr>
            <w:tcW w:w="165" w:type="dxa"/>
            <w:tcBorders>
              <w:top w:val="nil"/>
              <w:left w:val="nil"/>
              <w:bottom w:val="nil"/>
              <w:right w:val="nil"/>
            </w:tcBorders>
            <w:shd w:val="clear" w:color="auto" w:fill="auto"/>
            <w:noWrap/>
            <w:vAlign w:val="bottom"/>
            <w:hideMark/>
          </w:tcPr>
          <w:p w14:paraId="1F6EEF8B" w14:textId="77777777" w:rsidR="005739B7" w:rsidRPr="00BF70ED" w:rsidRDefault="005739B7" w:rsidP="00EC3288">
            <w:pPr>
              <w:spacing w:after="0" w:line="240" w:lineRule="auto"/>
              <w:rPr>
                <w:rFonts w:eastAsia="Times New Roman" w:cstheme="minorHAnsi"/>
                <w:color w:val="000000"/>
                <w:sz w:val="20"/>
                <w:szCs w:val="24"/>
                <w:lang w:eastAsia="fr-BE"/>
              </w:rPr>
            </w:pPr>
          </w:p>
        </w:tc>
        <w:tc>
          <w:tcPr>
            <w:tcW w:w="1091" w:type="dxa"/>
            <w:tcBorders>
              <w:top w:val="nil"/>
              <w:left w:val="single" w:sz="8" w:space="0" w:color="auto"/>
              <w:bottom w:val="single" w:sz="4" w:space="0" w:color="auto"/>
              <w:right w:val="single" w:sz="4" w:space="0" w:color="auto"/>
            </w:tcBorders>
            <w:shd w:val="clear" w:color="auto" w:fill="auto"/>
            <w:noWrap/>
            <w:vAlign w:val="center"/>
            <w:hideMark/>
          </w:tcPr>
          <w:p w14:paraId="7DE86F33" w14:textId="77777777" w:rsidR="005739B7" w:rsidRPr="00BF70ED" w:rsidRDefault="005739B7" w:rsidP="00EC3288">
            <w:pPr>
              <w:spacing w:after="0"/>
              <w:jc w:val="center"/>
              <w:rPr>
                <w:rFonts w:cstheme="minorHAnsi"/>
                <w:sz w:val="20"/>
                <w:szCs w:val="24"/>
              </w:rPr>
            </w:pPr>
            <w:r w:rsidRPr="00BF70ED">
              <w:rPr>
                <w:rFonts w:cstheme="minorHAnsi"/>
                <w:sz w:val="20"/>
                <w:szCs w:val="24"/>
              </w:rPr>
              <w:t>3,51%</w:t>
            </w:r>
          </w:p>
        </w:tc>
        <w:tc>
          <w:tcPr>
            <w:tcW w:w="1100" w:type="dxa"/>
            <w:tcBorders>
              <w:top w:val="single" w:sz="4" w:space="0" w:color="auto"/>
              <w:left w:val="single" w:sz="4" w:space="0" w:color="auto"/>
              <w:bottom w:val="nil"/>
              <w:right w:val="single" w:sz="4" w:space="0" w:color="auto"/>
            </w:tcBorders>
            <w:shd w:val="clear" w:color="auto" w:fill="auto"/>
            <w:noWrap/>
            <w:vAlign w:val="center"/>
            <w:hideMark/>
          </w:tcPr>
          <w:p w14:paraId="58FEF136" w14:textId="77777777" w:rsidR="005739B7" w:rsidRPr="00BF70ED" w:rsidRDefault="005739B7" w:rsidP="00EC3288">
            <w:pPr>
              <w:spacing w:after="0"/>
              <w:jc w:val="center"/>
              <w:rPr>
                <w:rFonts w:cstheme="minorHAnsi"/>
                <w:sz w:val="20"/>
                <w:szCs w:val="24"/>
              </w:rPr>
            </w:pPr>
            <w:r w:rsidRPr="00BF70ED">
              <w:rPr>
                <w:rFonts w:cstheme="minorHAnsi"/>
                <w:sz w:val="20"/>
                <w:szCs w:val="24"/>
              </w:rPr>
              <w:t>65</w:t>
            </w:r>
          </w:p>
        </w:tc>
        <w:tc>
          <w:tcPr>
            <w:tcW w:w="1101" w:type="dxa"/>
            <w:tcBorders>
              <w:top w:val="single" w:sz="4" w:space="0" w:color="auto"/>
              <w:left w:val="nil"/>
              <w:bottom w:val="nil"/>
              <w:right w:val="single" w:sz="4" w:space="0" w:color="auto"/>
            </w:tcBorders>
            <w:shd w:val="clear" w:color="auto" w:fill="auto"/>
            <w:noWrap/>
            <w:vAlign w:val="center"/>
            <w:hideMark/>
          </w:tcPr>
          <w:p w14:paraId="47787DDB" w14:textId="653D93F1" w:rsidR="005739B7" w:rsidRPr="00BF70ED" w:rsidRDefault="005739B7" w:rsidP="00EC3288">
            <w:pPr>
              <w:spacing w:after="0"/>
              <w:jc w:val="center"/>
              <w:rPr>
                <w:rFonts w:cstheme="minorHAnsi"/>
                <w:sz w:val="20"/>
                <w:szCs w:val="24"/>
              </w:rPr>
            </w:pPr>
            <w:r w:rsidRPr="00BF70ED">
              <w:rPr>
                <w:rFonts w:cstheme="minorHAnsi"/>
                <w:sz w:val="20"/>
                <w:szCs w:val="24"/>
              </w:rPr>
              <w:t>6</w:t>
            </w:r>
            <w:r w:rsidR="0001675C">
              <w:rPr>
                <w:rFonts w:cstheme="minorHAnsi"/>
                <w:sz w:val="20"/>
                <w:szCs w:val="24"/>
              </w:rPr>
              <w:t>6</w:t>
            </w:r>
          </w:p>
        </w:tc>
        <w:tc>
          <w:tcPr>
            <w:tcW w:w="1100" w:type="dxa"/>
            <w:tcBorders>
              <w:top w:val="single" w:sz="4" w:space="0" w:color="auto"/>
              <w:left w:val="nil"/>
              <w:bottom w:val="nil"/>
              <w:right w:val="single" w:sz="4" w:space="0" w:color="auto"/>
            </w:tcBorders>
            <w:shd w:val="clear" w:color="auto" w:fill="auto"/>
            <w:noWrap/>
            <w:vAlign w:val="center"/>
            <w:hideMark/>
          </w:tcPr>
          <w:p w14:paraId="74812135" w14:textId="77777777" w:rsidR="005739B7" w:rsidRPr="00BF70ED" w:rsidRDefault="005739B7" w:rsidP="00EC3288">
            <w:pPr>
              <w:spacing w:after="0"/>
              <w:jc w:val="center"/>
              <w:rPr>
                <w:rFonts w:cstheme="minorHAnsi"/>
                <w:sz w:val="20"/>
                <w:szCs w:val="24"/>
              </w:rPr>
            </w:pPr>
            <w:r w:rsidRPr="00BF70ED">
              <w:rPr>
                <w:rFonts w:cstheme="minorHAnsi"/>
                <w:sz w:val="20"/>
                <w:szCs w:val="24"/>
              </w:rPr>
              <w:t>68</w:t>
            </w:r>
          </w:p>
        </w:tc>
        <w:tc>
          <w:tcPr>
            <w:tcW w:w="1101" w:type="dxa"/>
            <w:tcBorders>
              <w:top w:val="single" w:sz="4" w:space="0" w:color="auto"/>
              <w:left w:val="nil"/>
              <w:bottom w:val="nil"/>
              <w:right w:val="single" w:sz="4" w:space="0" w:color="auto"/>
            </w:tcBorders>
            <w:shd w:val="clear" w:color="auto" w:fill="auto"/>
            <w:noWrap/>
            <w:vAlign w:val="center"/>
            <w:hideMark/>
          </w:tcPr>
          <w:p w14:paraId="18E3E89D" w14:textId="77777777" w:rsidR="005739B7" w:rsidRPr="00BF70ED" w:rsidRDefault="005739B7" w:rsidP="00EC3288">
            <w:pPr>
              <w:spacing w:after="0"/>
              <w:jc w:val="center"/>
              <w:rPr>
                <w:rFonts w:cstheme="minorHAnsi"/>
                <w:sz w:val="20"/>
                <w:szCs w:val="24"/>
              </w:rPr>
            </w:pPr>
            <w:r w:rsidRPr="00BF70ED">
              <w:rPr>
                <w:rFonts w:cstheme="minorHAnsi"/>
                <w:sz w:val="20"/>
                <w:szCs w:val="24"/>
              </w:rPr>
              <w:t>69</w:t>
            </w:r>
          </w:p>
        </w:tc>
        <w:tc>
          <w:tcPr>
            <w:tcW w:w="1100" w:type="dxa"/>
            <w:tcBorders>
              <w:top w:val="single" w:sz="4" w:space="0" w:color="auto"/>
              <w:left w:val="nil"/>
              <w:bottom w:val="nil"/>
              <w:right w:val="single" w:sz="4" w:space="0" w:color="auto"/>
            </w:tcBorders>
            <w:shd w:val="clear" w:color="auto" w:fill="auto"/>
            <w:noWrap/>
            <w:vAlign w:val="center"/>
            <w:hideMark/>
          </w:tcPr>
          <w:p w14:paraId="7A5F9A56" w14:textId="77777777" w:rsidR="005739B7" w:rsidRPr="00BF70ED" w:rsidRDefault="005739B7" w:rsidP="00EC3288">
            <w:pPr>
              <w:spacing w:after="0"/>
              <w:jc w:val="center"/>
              <w:rPr>
                <w:rFonts w:cstheme="minorHAnsi"/>
                <w:sz w:val="20"/>
                <w:szCs w:val="24"/>
              </w:rPr>
            </w:pPr>
            <w:r w:rsidRPr="00BF70ED">
              <w:rPr>
                <w:rFonts w:cstheme="minorHAnsi"/>
                <w:sz w:val="20"/>
                <w:szCs w:val="24"/>
              </w:rPr>
              <w:t>71</w:t>
            </w:r>
          </w:p>
        </w:tc>
        <w:tc>
          <w:tcPr>
            <w:tcW w:w="1101" w:type="dxa"/>
            <w:tcBorders>
              <w:top w:val="single" w:sz="4" w:space="0" w:color="auto"/>
              <w:left w:val="nil"/>
              <w:bottom w:val="nil"/>
              <w:right w:val="single" w:sz="4" w:space="0" w:color="auto"/>
            </w:tcBorders>
            <w:shd w:val="clear" w:color="auto" w:fill="auto"/>
            <w:noWrap/>
            <w:vAlign w:val="center"/>
            <w:hideMark/>
          </w:tcPr>
          <w:p w14:paraId="40B0C423" w14:textId="77777777" w:rsidR="005739B7" w:rsidRPr="00BF70ED" w:rsidRDefault="005739B7" w:rsidP="00EC3288">
            <w:pPr>
              <w:spacing w:after="0"/>
              <w:jc w:val="center"/>
              <w:rPr>
                <w:rFonts w:cstheme="minorHAnsi"/>
                <w:sz w:val="20"/>
                <w:szCs w:val="24"/>
              </w:rPr>
            </w:pPr>
            <w:r w:rsidRPr="00BF70ED">
              <w:rPr>
                <w:rFonts w:cstheme="minorHAnsi"/>
                <w:sz w:val="20"/>
                <w:szCs w:val="24"/>
              </w:rPr>
              <w:t>72</w:t>
            </w:r>
          </w:p>
        </w:tc>
        <w:tc>
          <w:tcPr>
            <w:tcW w:w="1100" w:type="dxa"/>
            <w:tcBorders>
              <w:top w:val="single" w:sz="4" w:space="0" w:color="auto"/>
              <w:left w:val="nil"/>
              <w:bottom w:val="nil"/>
              <w:right w:val="single" w:sz="4" w:space="0" w:color="auto"/>
            </w:tcBorders>
            <w:shd w:val="clear" w:color="auto" w:fill="auto"/>
            <w:noWrap/>
            <w:vAlign w:val="center"/>
            <w:hideMark/>
          </w:tcPr>
          <w:p w14:paraId="586145F6" w14:textId="066162AA" w:rsidR="005739B7" w:rsidRPr="00BF70ED" w:rsidRDefault="005739B7" w:rsidP="00EC3288">
            <w:pPr>
              <w:spacing w:after="0"/>
              <w:jc w:val="center"/>
              <w:rPr>
                <w:rFonts w:cstheme="minorHAnsi"/>
                <w:sz w:val="20"/>
                <w:szCs w:val="24"/>
              </w:rPr>
            </w:pPr>
            <w:r w:rsidRPr="00BF70ED">
              <w:rPr>
                <w:rFonts w:cstheme="minorHAnsi"/>
                <w:sz w:val="20"/>
                <w:szCs w:val="24"/>
              </w:rPr>
              <w:t>7</w:t>
            </w:r>
            <w:r w:rsidR="00BF35E3">
              <w:rPr>
                <w:rFonts w:cstheme="minorHAnsi"/>
                <w:sz w:val="20"/>
                <w:szCs w:val="24"/>
              </w:rPr>
              <w:t>3</w:t>
            </w:r>
          </w:p>
        </w:tc>
        <w:tc>
          <w:tcPr>
            <w:tcW w:w="1101" w:type="dxa"/>
            <w:tcBorders>
              <w:top w:val="single" w:sz="4" w:space="0" w:color="auto"/>
              <w:left w:val="nil"/>
              <w:bottom w:val="nil"/>
              <w:right w:val="single" w:sz="4" w:space="0" w:color="auto"/>
            </w:tcBorders>
            <w:shd w:val="clear" w:color="auto" w:fill="auto"/>
            <w:noWrap/>
            <w:vAlign w:val="center"/>
            <w:hideMark/>
          </w:tcPr>
          <w:p w14:paraId="26C5C0A4" w14:textId="77777777" w:rsidR="005739B7" w:rsidRPr="00BF70ED" w:rsidRDefault="005739B7" w:rsidP="00EC3288">
            <w:pPr>
              <w:spacing w:after="0"/>
              <w:jc w:val="center"/>
              <w:rPr>
                <w:rFonts w:cstheme="minorHAnsi"/>
                <w:sz w:val="20"/>
                <w:szCs w:val="24"/>
              </w:rPr>
            </w:pPr>
            <w:r w:rsidRPr="00BF70ED">
              <w:rPr>
                <w:rFonts w:cstheme="minorHAnsi"/>
                <w:sz w:val="20"/>
                <w:szCs w:val="24"/>
              </w:rPr>
              <w:t>485</w:t>
            </w:r>
          </w:p>
        </w:tc>
      </w:tr>
      <w:tr w:rsidR="005739B7" w:rsidRPr="00BF70ED" w14:paraId="2C1A67C5" w14:textId="77777777" w:rsidTr="00EC3288">
        <w:trPr>
          <w:trHeight w:val="348"/>
        </w:trPr>
        <w:tc>
          <w:tcPr>
            <w:tcW w:w="3979" w:type="dxa"/>
            <w:tcBorders>
              <w:top w:val="single" w:sz="8" w:space="0" w:color="auto"/>
              <w:left w:val="single" w:sz="8" w:space="0" w:color="auto"/>
              <w:bottom w:val="single" w:sz="8" w:space="0" w:color="auto"/>
              <w:right w:val="single" w:sz="8" w:space="0" w:color="auto"/>
            </w:tcBorders>
            <w:shd w:val="clear" w:color="000000" w:fill="95B3D7"/>
            <w:vAlign w:val="bottom"/>
            <w:hideMark/>
          </w:tcPr>
          <w:p w14:paraId="32B11888" w14:textId="77777777" w:rsidR="005739B7" w:rsidRPr="00BF70ED" w:rsidRDefault="005739B7" w:rsidP="00EC3288">
            <w:pPr>
              <w:spacing w:after="0" w:line="240" w:lineRule="auto"/>
              <w:jc w:val="right"/>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Total Operational Budget</w:t>
            </w:r>
          </w:p>
        </w:tc>
        <w:tc>
          <w:tcPr>
            <w:tcW w:w="165" w:type="dxa"/>
            <w:tcBorders>
              <w:top w:val="nil"/>
              <w:left w:val="nil"/>
              <w:bottom w:val="nil"/>
              <w:right w:val="nil"/>
            </w:tcBorders>
            <w:shd w:val="clear" w:color="auto" w:fill="auto"/>
            <w:noWrap/>
            <w:vAlign w:val="bottom"/>
            <w:hideMark/>
          </w:tcPr>
          <w:p w14:paraId="4F06E828" w14:textId="77777777" w:rsidR="005739B7" w:rsidRPr="00BF70ED" w:rsidRDefault="005739B7" w:rsidP="00EC3288">
            <w:pPr>
              <w:spacing w:after="0" w:line="240" w:lineRule="auto"/>
              <w:jc w:val="right"/>
              <w:rPr>
                <w:rFonts w:eastAsia="Times New Roman" w:cstheme="minorHAnsi"/>
                <w:b/>
                <w:bCs/>
                <w:color w:val="000000"/>
                <w:sz w:val="20"/>
                <w:szCs w:val="24"/>
                <w:lang w:val="fr-BE" w:eastAsia="fr-BE"/>
              </w:rPr>
            </w:pPr>
          </w:p>
        </w:tc>
        <w:tc>
          <w:tcPr>
            <w:tcW w:w="1091" w:type="dxa"/>
            <w:tcBorders>
              <w:top w:val="single" w:sz="8" w:space="0" w:color="auto"/>
              <w:left w:val="single" w:sz="8" w:space="0" w:color="auto"/>
              <w:bottom w:val="single" w:sz="8" w:space="0" w:color="auto"/>
              <w:right w:val="single" w:sz="4" w:space="0" w:color="auto"/>
            </w:tcBorders>
            <w:shd w:val="clear" w:color="000000" w:fill="95B3D7"/>
            <w:noWrap/>
            <w:vAlign w:val="center"/>
            <w:hideMark/>
          </w:tcPr>
          <w:p w14:paraId="57051CB3"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100,0%</w:t>
            </w:r>
          </w:p>
        </w:tc>
        <w:tc>
          <w:tcPr>
            <w:tcW w:w="1100" w:type="dxa"/>
            <w:tcBorders>
              <w:top w:val="single" w:sz="8" w:space="0" w:color="auto"/>
              <w:left w:val="nil"/>
              <w:bottom w:val="single" w:sz="8" w:space="0" w:color="auto"/>
              <w:right w:val="single" w:sz="4" w:space="0" w:color="auto"/>
            </w:tcBorders>
            <w:shd w:val="clear" w:color="000000" w:fill="95B3D7"/>
            <w:noWrap/>
            <w:hideMark/>
          </w:tcPr>
          <w:p w14:paraId="7A2AD484" w14:textId="6112CCA0"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1.85</w:t>
            </w:r>
            <w:r w:rsidR="0001675C">
              <w:rPr>
                <w:rFonts w:eastAsia="Times New Roman" w:cstheme="minorHAnsi"/>
                <w:b/>
                <w:bCs/>
                <w:color w:val="000000"/>
                <w:sz w:val="20"/>
                <w:szCs w:val="24"/>
                <w:lang w:val="fr-BE" w:eastAsia="fr-BE"/>
              </w:rPr>
              <w:t>5</w:t>
            </w:r>
          </w:p>
        </w:tc>
        <w:tc>
          <w:tcPr>
            <w:tcW w:w="1101" w:type="dxa"/>
            <w:tcBorders>
              <w:top w:val="single" w:sz="8" w:space="0" w:color="auto"/>
              <w:left w:val="nil"/>
              <w:bottom w:val="single" w:sz="8" w:space="0" w:color="auto"/>
              <w:right w:val="single" w:sz="4" w:space="0" w:color="auto"/>
            </w:tcBorders>
            <w:shd w:val="clear" w:color="000000" w:fill="95B3D7"/>
            <w:noWrap/>
            <w:hideMark/>
          </w:tcPr>
          <w:p w14:paraId="5827D5D2" w14:textId="29411129"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1.89</w:t>
            </w:r>
            <w:r w:rsidR="0001675C">
              <w:rPr>
                <w:rFonts w:eastAsia="Times New Roman" w:cstheme="minorHAnsi"/>
                <w:b/>
                <w:bCs/>
                <w:color w:val="000000"/>
                <w:sz w:val="20"/>
                <w:szCs w:val="24"/>
                <w:lang w:val="fr-BE" w:eastAsia="fr-BE"/>
              </w:rPr>
              <w:t>4</w:t>
            </w:r>
          </w:p>
        </w:tc>
        <w:tc>
          <w:tcPr>
            <w:tcW w:w="1100" w:type="dxa"/>
            <w:tcBorders>
              <w:top w:val="single" w:sz="8" w:space="0" w:color="auto"/>
              <w:left w:val="nil"/>
              <w:bottom w:val="single" w:sz="8" w:space="0" w:color="auto"/>
              <w:right w:val="single" w:sz="4" w:space="0" w:color="auto"/>
            </w:tcBorders>
            <w:shd w:val="clear" w:color="000000" w:fill="95B3D7"/>
            <w:noWrap/>
            <w:hideMark/>
          </w:tcPr>
          <w:p w14:paraId="0B42BB86" w14:textId="403C0F1C"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1.93</w:t>
            </w:r>
            <w:r w:rsidR="0001675C">
              <w:rPr>
                <w:rFonts w:eastAsia="Times New Roman" w:cstheme="minorHAnsi"/>
                <w:b/>
                <w:bCs/>
                <w:color w:val="000000"/>
                <w:sz w:val="20"/>
                <w:szCs w:val="24"/>
                <w:lang w:val="fr-BE" w:eastAsia="fr-BE"/>
              </w:rPr>
              <w:t>2</w:t>
            </w:r>
          </w:p>
        </w:tc>
        <w:tc>
          <w:tcPr>
            <w:tcW w:w="1101" w:type="dxa"/>
            <w:tcBorders>
              <w:top w:val="single" w:sz="8" w:space="0" w:color="auto"/>
              <w:left w:val="nil"/>
              <w:bottom w:val="single" w:sz="8" w:space="0" w:color="auto"/>
              <w:right w:val="single" w:sz="4" w:space="0" w:color="auto"/>
            </w:tcBorders>
            <w:shd w:val="clear" w:color="000000" w:fill="95B3D7"/>
            <w:noWrap/>
            <w:hideMark/>
          </w:tcPr>
          <w:p w14:paraId="1A20BC2E" w14:textId="5B1C8E5F"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1.97</w:t>
            </w:r>
            <w:r w:rsidR="00D67076">
              <w:rPr>
                <w:rFonts w:eastAsia="Times New Roman" w:cstheme="minorHAnsi"/>
                <w:b/>
                <w:bCs/>
                <w:color w:val="000000"/>
                <w:sz w:val="20"/>
                <w:szCs w:val="24"/>
                <w:lang w:val="fr-BE" w:eastAsia="fr-BE"/>
              </w:rPr>
              <w:t>1</w:t>
            </w:r>
          </w:p>
        </w:tc>
        <w:tc>
          <w:tcPr>
            <w:tcW w:w="1100" w:type="dxa"/>
            <w:tcBorders>
              <w:top w:val="single" w:sz="8" w:space="0" w:color="auto"/>
              <w:left w:val="nil"/>
              <w:bottom w:val="single" w:sz="8" w:space="0" w:color="auto"/>
              <w:right w:val="single" w:sz="4" w:space="0" w:color="auto"/>
            </w:tcBorders>
            <w:shd w:val="clear" w:color="000000" w:fill="95B3D7"/>
            <w:noWrap/>
            <w:hideMark/>
          </w:tcPr>
          <w:p w14:paraId="74DFE289" w14:textId="718EAD3F"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2.01</w:t>
            </w:r>
            <w:r w:rsidR="00D67076">
              <w:rPr>
                <w:rFonts w:eastAsia="Times New Roman" w:cstheme="minorHAnsi"/>
                <w:b/>
                <w:bCs/>
                <w:color w:val="000000"/>
                <w:sz w:val="20"/>
                <w:szCs w:val="24"/>
                <w:lang w:val="fr-BE" w:eastAsia="fr-BE"/>
              </w:rPr>
              <w:t>0</w:t>
            </w:r>
          </w:p>
        </w:tc>
        <w:tc>
          <w:tcPr>
            <w:tcW w:w="1101" w:type="dxa"/>
            <w:tcBorders>
              <w:top w:val="single" w:sz="8" w:space="0" w:color="auto"/>
              <w:left w:val="nil"/>
              <w:bottom w:val="single" w:sz="8" w:space="0" w:color="auto"/>
              <w:right w:val="single" w:sz="4" w:space="0" w:color="auto"/>
            </w:tcBorders>
            <w:shd w:val="clear" w:color="000000" w:fill="95B3D7"/>
            <w:noWrap/>
            <w:hideMark/>
          </w:tcPr>
          <w:p w14:paraId="4C0299F4" w14:textId="099948D2"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2.05</w:t>
            </w:r>
            <w:r w:rsidR="00D67076">
              <w:rPr>
                <w:rFonts w:eastAsia="Times New Roman" w:cstheme="minorHAnsi"/>
                <w:b/>
                <w:bCs/>
                <w:color w:val="000000"/>
                <w:sz w:val="20"/>
                <w:szCs w:val="24"/>
                <w:lang w:val="fr-BE" w:eastAsia="fr-BE"/>
              </w:rPr>
              <w:t>1</w:t>
            </w:r>
          </w:p>
        </w:tc>
        <w:tc>
          <w:tcPr>
            <w:tcW w:w="1100" w:type="dxa"/>
            <w:tcBorders>
              <w:top w:val="single" w:sz="8" w:space="0" w:color="auto"/>
              <w:left w:val="nil"/>
              <w:bottom w:val="single" w:sz="8" w:space="0" w:color="auto"/>
              <w:right w:val="single" w:sz="4" w:space="0" w:color="auto"/>
            </w:tcBorders>
            <w:shd w:val="clear" w:color="000000" w:fill="95B3D7"/>
            <w:noWrap/>
            <w:hideMark/>
          </w:tcPr>
          <w:p w14:paraId="1AD90CF8" w14:textId="588B4860"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2.09</w:t>
            </w:r>
            <w:r w:rsidR="00BF35E3">
              <w:rPr>
                <w:rFonts w:eastAsia="Times New Roman" w:cstheme="minorHAnsi"/>
                <w:b/>
                <w:bCs/>
                <w:color w:val="000000"/>
                <w:sz w:val="20"/>
                <w:szCs w:val="24"/>
                <w:lang w:val="fr-BE" w:eastAsia="fr-BE"/>
              </w:rPr>
              <w:t>3</w:t>
            </w:r>
          </w:p>
        </w:tc>
        <w:tc>
          <w:tcPr>
            <w:tcW w:w="1101" w:type="dxa"/>
            <w:tcBorders>
              <w:top w:val="single" w:sz="8" w:space="0" w:color="auto"/>
              <w:left w:val="nil"/>
              <w:bottom w:val="single" w:sz="8" w:space="0" w:color="auto"/>
              <w:right w:val="single" w:sz="8" w:space="0" w:color="auto"/>
            </w:tcBorders>
            <w:shd w:val="clear" w:color="000000" w:fill="95B3D7"/>
            <w:noWrap/>
            <w:hideMark/>
          </w:tcPr>
          <w:p w14:paraId="13D34C14" w14:textId="72646B88"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13.8</w:t>
            </w:r>
            <w:r w:rsidR="00BF35E3">
              <w:rPr>
                <w:rFonts w:eastAsia="Times New Roman" w:cstheme="minorHAnsi"/>
                <w:b/>
                <w:bCs/>
                <w:color w:val="000000"/>
                <w:sz w:val="20"/>
                <w:szCs w:val="24"/>
                <w:lang w:val="fr-BE" w:eastAsia="fr-BE"/>
              </w:rPr>
              <w:t>04</w:t>
            </w:r>
          </w:p>
        </w:tc>
      </w:tr>
      <w:tr w:rsidR="005739B7" w:rsidRPr="00BF70ED" w14:paraId="5764ECDD" w14:textId="77777777" w:rsidTr="00EC3288">
        <w:trPr>
          <w:trHeight w:val="489"/>
        </w:trPr>
        <w:tc>
          <w:tcPr>
            <w:tcW w:w="397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0BB581" w14:textId="77777777" w:rsidR="005739B7" w:rsidRPr="00BF70ED" w:rsidRDefault="005739B7" w:rsidP="00EC3288">
            <w:pPr>
              <w:spacing w:after="0" w:line="240" w:lineRule="auto"/>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Administrative Appropriations</w:t>
            </w:r>
          </w:p>
        </w:tc>
        <w:tc>
          <w:tcPr>
            <w:tcW w:w="165" w:type="dxa"/>
            <w:tcBorders>
              <w:top w:val="nil"/>
              <w:left w:val="nil"/>
              <w:bottom w:val="nil"/>
              <w:right w:val="nil"/>
            </w:tcBorders>
            <w:shd w:val="clear" w:color="auto" w:fill="auto"/>
            <w:noWrap/>
            <w:vAlign w:val="bottom"/>
            <w:hideMark/>
          </w:tcPr>
          <w:p w14:paraId="383ECD89" w14:textId="77777777" w:rsidR="005739B7" w:rsidRPr="00BF70ED" w:rsidRDefault="005739B7" w:rsidP="00EC3288">
            <w:pPr>
              <w:spacing w:after="0" w:line="240" w:lineRule="auto"/>
              <w:rPr>
                <w:rFonts w:eastAsia="Times New Roman" w:cstheme="minorHAnsi"/>
                <w:color w:val="000000"/>
                <w:sz w:val="20"/>
                <w:szCs w:val="24"/>
                <w:lang w:val="fr-BE" w:eastAsia="fr-BE"/>
              </w:rPr>
            </w:pPr>
          </w:p>
        </w:tc>
        <w:tc>
          <w:tcPr>
            <w:tcW w:w="1091" w:type="dxa"/>
            <w:tcBorders>
              <w:top w:val="nil"/>
              <w:left w:val="single" w:sz="4" w:space="0" w:color="auto"/>
              <w:bottom w:val="single" w:sz="4" w:space="0" w:color="auto"/>
              <w:right w:val="single" w:sz="4" w:space="0" w:color="auto"/>
            </w:tcBorders>
            <w:shd w:val="clear" w:color="auto" w:fill="auto"/>
            <w:noWrap/>
            <w:vAlign w:val="center"/>
            <w:hideMark/>
          </w:tcPr>
          <w:p w14:paraId="5C5FD909" w14:textId="77777777"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n/a</w:t>
            </w:r>
          </w:p>
        </w:tc>
        <w:tc>
          <w:tcPr>
            <w:tcW w:w="1100" w:type="dxa"/>
            <w:tcBorders>
              <w:top w:val="nil"/>
              <w:left w:val="nil"/>
              <w:bottom w:val="single" w:sz="4" w:space="0" w:color="auto"/>
              <w:right w:val="single" w:sz="4" w:space="0" w:color="auto"/>
            </w:tcBorders>
            <w:shd w:val="clear" w:color="auto" w:fill="auto"/>
            <w:noWrap/>
            <w:vAlign w:val="center"/>
            <w:hideMark/>
          </w:tcPr>
          <w:p w14:paraId="6416070F" w14:textId="117E2663"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4</w:t>
            </w:r>
            <w:r w:rsidR="0001675C">
              <w:rPr>
                <w:rFonts w:eastAsia="Times New Roman" w:cstheme="minorHAnsi"/>
                <w:color w:val="000000"/>
                <w:sz w:val="20"/>
                <w:szCs w:val="24"/>
                <w:lang w:val="fr-BE" w:eastAsia="fr-BE"/>
              </w:rPr>
              <w:t>9</w:t>
            </w:r>
          </w:p>
        </w:tc>
        <w:tc>
          <w:tcPr>
            <w:tcW w:w="1101" w:type="dxa"/>
            <w:tcBorders>
              <w:top w:val="nil"/>
              <w:left w:val="nil"/>
              <w:bottom w:val="single" w:sz="4" w:space="0" w:color="auto"/>
              <w:right w:val="single" w:sz="4" w:space="0" w:color="auto"/>
            </w:tcBorders>
            <w:shd w:val="clear" w:color="auto" w:fill="auto"/>
            <w:noWrap/>
            <w:vAlign w:val="center"/>
            <w:hideMark/>
          </w:tcPr>
          <w:p w14:paraId="3C19ADA8" w14:textId="2F935FAF"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4</w:t>
            </w:r>
            <w:r w:rsidR="0001675C">
              <w:rPr>
                <w:rFonts w:eastAsia="Times New Roman" w:cstheme="minorHAnsi"/>
                <w:color w:val="000000"/>
                <w:sz w:val="20"/>
                <w:szCs w:val="24"/>
                <w:lang w:val="fr-BE" w:eastAsia="fr-BE"/>
              </w:rPr>
              <w:t>9</w:t>
            </w:r>
          </w:p>
        </w:tc>
        <w:tc>
          <w:tcPr>
            <w:tcW w:w="1100" w:type="dxa"/>
            <w:tcBorders>
              <w:top w:val="nil"/>
              <w:left w:val="nil"/>
              <w:bottom w:val="single" w:sz="4" w:space="0" w:color="auto"/>
              <w:right w:val="single" w:sz="4" w:space="0" w:color="auto"/>
            </w:tcBorders>
            <w:shd w:val="clear" w:color="auto" w:fill="auto"/>
            <w:noWrap/>
            <w:vAlign w:val="center"/>
            <w:hideMark/>
          </w:tcPr>
          <w:p w14:paraId="4027CC64" w14:textId="43CA8D7F" w:rsidR="005739B7" w:rsidRPr="00BF70ED" w:rsidRDefault="0001675C" w:rsidP="00EC3288">
            <w:pPr>
              <w:spacing w:after="0" w:line="240" w:lineRule="auto"/>
              <w:jc w:val="center"/>
              <w:rPr>
                <w:rFonts w:eastAsia="Times New Roman" w:cstheme="minorHAnsi"/>
                <w:color w:val="000000"/>
                <w:sz w:val="20"/>
                <w:szCs w:val="24"/>
                <w:lang w:val="fr-BE" w:eastAsia="fr-BE"/>
              </w:rPr>
            </w:pPr>
            <w:r>
              <w:rPr>
                <w:rFonts w:eastAsia="Times New Roman" w:cstheme="minorHAnsi"/>
                <w:color w:val="000000"/>
                <w:sz w:val="20"/>
                <w:szCs w:val="24"/>
                <w:lang w:val="fr-BE" w:eastAsia="fr-BE"/>
              </w:rPr>
              <w:t>50</w:t>
            </w:r>
          </w:p>
        </w:tc>
        <w:tc>
          <w:tcPr>
            <w:tcW w:w="1101" w:type="dxa"/>
            <w:tcBorders>
              <w:top w:val="nil"/>
              <w:left w:val="nil"/>
              <w:bottom w:val="single" w:sz="4" w:space="0" w:color="auto"/>
              <w:right w:val="single" w:sz="4" w:space="0" w:color="auto"/>
            </w:tcBorders>
            <w:shd w:val="clear" w:color="auto" w:fill="auto"/>
            <w:noWrap/>
            <w:vAlign w:val="center"/>
            <w:hideMark/>
          </w:tcPr>
          <w:p w14:paraId="51D8E14F" w14:textId="4CA32192" w:rsidR="005739B7" w:rsidRPr="00BF70ED" w:rsidRDefault="00D67076" w:rsidP="00EC3288">
            <w:pPr>
              <w:spacing w:after="0" w:line="240" w:lineRule="auto"/>
              <w:jc w:val="center"/>
              <w:rPr>
                <w:rFonts w:eastAsia="Times New Roman" w:cstheme="minorHAnsi"/>
                <w:color w:val="000000"/>
                <w:sz w:val="20"/>
                <w:szCs w:val="24"/>
                <w:lang w:val="fr-BE" w:eastAsia="fr-BE"/>
              </w:rPr>
            </w:pPr>
            <w:r>
              <w:rPr>
                <w:rFonts w:eastAsia="Times New Roman" w:cstheme="minorHAnsi"/>
                <w:color w:val="000000"/>
                <w:sz w:val="20"/>
                <w:szCs w:val="24"/>
                <w:lang w:val="fr-BE" w:eastAsia="fr-BE"/>
              </w:rPr>
              <w:t>51</w:t>
            </w:r>
          </w:p>
        </w:tc>
        <w:tc>
          <w:tcPr>
            <w:tcW w:w="1100" w:type="dxa"/>
            <w:tcBorders>
              <w:top w:val="nil"/>
              <w:left w:val="nil"/>
              <w:bottom w:val="single" w:sz="4" w:space="0" w:color="auto"/>
              <w:right w:val="single" w:sz="4" w:space="0" w:color="auto"/>
            </w:tcBorders>
            <w:shd w:val="clear" w:color="auto" w:fill="auto"/>
            <w:noWrap/>
            <w:vAlign w:val="center"/>
            <w:hideMark/>
          </w:tcPr>
          <w:p w14:paraId="08486A65" w14:textId="294BAF1D"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5</w:t>
            </w:r>
            <w:r w:rsidR="00D67076">
              <w:rPr>
                <w:rFonts w:eastAsia="Times New Roman" w:cstheme="minorHAnsi"/>
                <w:color w:val="000000"/>
                <w:sz w:val="20"/>
                <w:szCs w:val="24"/>
                <w:lang w:val="fr-BE" w:eastAsia="fr-BE"/>
              </w:rPr>
              <w:t>2</w:t>
            </w:r>
          </w:p>
        </w:tc>
        <w:tc>
          <w:tcPr>
            <w:tcW w:w="1101" w:type="dxa"/>
            <w:tcBorders>
              <w:top w:val="nil"/>
              <w:left w:val="nil"/>
              <w:bottom w:val="single" w:sz="4" w:space="0" w:color="auto"/>
              <w:right w:val="single" w:sz="4" w:space="0" w:color="auto"/>
            </w:tcBorders>
            <w:shd w:val="clear" w:color="auto" w:fill="auto"/>
            <w:noWrap/>
            <w:vAlign w:val="center"/>
            <w:hideMark/>
          </w:tcPr>
          <w:p w14:paraId="5D265E3C" w14:textId="5789B38A"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5</w:t>
            </w:r>
            <w:r w:rsidR="00D67076">
              <w:rPr>
                <w:rFonts w:eastAsia="Times New Roman" w:cstheme="minorHAnsi"/>
                <w:color w:val="000000"/>
                <w:sz w:val="20"/>
                <w:szCs w:val="24"/>
                <w:lang w:val="fr-BE" w:eastAsia="fr-BE"/>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FA10D2" w14:textId="58B9A453"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5</w:t>
            </w:r>
            <w:r w:rsidR="00BF35E3">
              <w:rPr>
                <w:rFonts w:eastAsia="Times New Roman" w:cstheme="minorHAnsi"/>
                <w:color w:val="000000"/>
                <w:sz w:val="20"/>
                <w:szCs w:val="24"/>
                <w:lang w:val="fr-BE" w:eastAsia="fr-BE"/>
              </w:rPr>
              <w:t>4</w:t>
            </w:r>
          </w:p>
        </w:tc>
        <w:tc>
          <w:tcPr>
            <w:tcW w:w="1101" w:type="dxa"/>
            <w:tcBorders>
              <w:top w:val="nil"/>
              <w:left w:val="nil"/>
              <w:bottom w:val="single" w:sz="4" w:space="0" w:color="auto"/>
              <w:right w:val="single" w:sz="4" w:space="0" w:color="auto"/>
            </w:tcBorders>
            <w:shd w:val="clear" w:color="auto" w:fill="auto"/>
            <w:noWrap/>
            <w:vAlign w:val="center"/>
            <w:hideMark/>
          </w:tcPr>
          <w:p w14:paraId="4B6406C7" w14:textId="64E1F345" w:rsidR="005739B7" w:rsidRPr="00BF70ED" w:rsidRDefault="005739B7" w:rsidP="00EC3288">
            <w:pPr>
              <w:spacing w:after="0" w:line="240" w:lineRule="auto"/>
              <w:jc w:val="center"/>
              <w:rPr>
                <w:rFonts w:eastAsia="Times New Roman" w:cstheme="minorHAnsi"/>
                <w:color w:val="000000"/>
                <w:sz w:val="20"/>
                <w:szCs w:val="24"/>
                <w:lang w:val="fr-BE" w:eastAsia="fr-BE"/>
              </w:rPr>
            </w:pPr>
            <w:r w:rsidRPr="00BF70ED">
              <w:rPr>
                <w:rFonts w:eastAsia="Times New Roman" w:cstheme="minorHAnsi"/>
                <w:color w:val="000000"/>
                <w:sz w:val="20"/>
                <w:szCs w:val="24"/>
                <w:lang w:val="fr-BE" w:eastAsia="fr-BE"/>
              </w:rPr>
              <w:t>3</w:t>
            </w:r>
            <w:r w:rsidR="00BF35E3">
              <w:rPr>
                <w:rFonts w:eastAsia="Times New Roman" w:cstheme="minorHAnsi"/>
                <w:color w:val="000000"/>
                <w:sz w:val="20"/>
                <w:szCs w:val="24"/>
                <w:lang w:val="fr-BE" w:eastAsia="fr-BE"/>
              </w:rPr>
              <w:t>57</w:t>
            </w:r>
          </w:p>
        </w:tc>
      </w:tr>
      <w:tr w:rsidR="005739B7" w:rsidRPr="00BF70ED" w14:paraId="3E2F763A" w14:textId="77777777" w:rsidTr="00EC3288">
        <w:trPr>
          <w:trHeight w:val="339"/>
        </w:trPr>
        <w:tc>
          <w:tcPr>
            <w:tcW w:w="3979" w:type="dxa"/>
            <w:tcBorders>
              <w:top w:val="single" w:sz="8" w:space="0" w:color="auto"/>
              <w:left w:val="single" w:sz="8" w:space="0" w:color="auto"/>
              <w:bottom w:val="single" w:sz="8" w:space="0" w:color="auto"/>
              <w:right w:val="single" w:sz="8" w:space="0" w:color="auto"/>
            </w:tcBorders>
            <w:shd w:val="clear" w:color="000000" w:fill="95B3D7"/>
            <w:vAlign w:val="bottom"/>
            <w:hideMark/>
          </w:tcPr>
          <w:p w14:paraId="55DFBBB1" w14:textId="77777777" w:rsidR="005739B7" w:rsidRPr="00BF70ED" w:rsidRDefault="005739B7" w:rsidP="00EC3288">
            <w:pPr>
              <w:spacing w:after="0" w:line="240" w:lineRule="auto"/>
              <w:jc w:val="right"/>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Total</w:t>
            </w:r>
          </w:p>
        </w:tc>
        <w:tc>
          <w:tcPr>
            <w:tcW w:w="165" w:type="dxa"/>
            <w:tcBorders>
              <w:top w:val="nil"/>
              <w:left w:val="nil"/>
              <w:bottom w:val="nil"/>
              <w:right w:val="nil"/>
            </w:tcBorders>
            <w:shd w:val="clear" w:color="auto" w:fill="auto"/>
            <w:noWrap/>
            <w:vAlign w:val="bottom"/>
            <w:hideMark/>
          </w:tcPr>
          <w:p w14:paraId="0330543D" w14:textId="77777777" w:rsidR="005739B7" w:rsidRPr="00BF70ED" w:rsidRDefault="005739B7" w:rsidP="00EC3288">
            <w:pPr>
              <w:spacing w:after="0" w:line="240" w:lineRule="auto"/>
              <w:jc w:val="right"/>
              <w:rPr>
                <w:rFonts w:eastAsia="Times New Roman" w:cstheme="minorHAnsi"/>
                <w:b/>
                <w:bCs/>
                <w:color w:val="000000"/>
                <w:sz w:val="20"/>
                <w:szCs w:val="24"/>
                <w:lang w:val="fr-BE" w:eastAsia="fr-BE"/>
              </w:rPr>
            </w:pPr>
          </w:p>
        </w:tc>
        <w:tc>
          <w:tcPr>
            <w:tcW w:w="1091" w:type="dxa"/>
            <w:tcBorders>
              <w:top w:val="nil"/>
              <w:left w:val="single" w:sz="8" w:space="0" w:color="auto"/>
              <w:bottom w:val="single" w:sz="8" w:space="0" w:color="auto"/>
              <w:right w:val="single" w:sz="4" w:space="0" w:color="auto"/>
            </w:tcBorders>
            <w:shd w:val="clear" w:color="000000" w:fill="95B3D7"/>
            <w:noWrap/>
            <w:vAlign w:val="center"/>
            <w:hideMark/>
          </w:tcPr>
          <w:p w14:paraId="701C60F4"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100,00%</w:t>
            </w:r>
          </w:p>
        </w:tc>
        <w:tc>
          <w:tcPr>
            <w:tcW w:w="1100" w:type="dxa"/>
            <w:tcBorders>
              <w:top w:val="nil"/>
              <w:left w:val="single" w:sz="8" w:space="0" w:color="auto"/>
              <w:bottom w:val="single" w:sz="8" w:space="0" w:color="auto"/>
              <w:right w:val="single" w:sz="4" w:space="0" w:color="auto"/>
            </w:tcBorders>
            <w:shd w:val="clear" w:color="000000" w:fill="95B3D7"/>
            <w:noWrap/>
            <w:vAlign w:val="center"/>
            <w:hideMark/>
          </w:tcPr>
          <w:p w14:paraId="0BC064B6"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1.904</w:t>
            </w:r>
          </w:p>
        </w:tc>
        <w:tc>
          <w:tcPr>
            <w:tcW w:w="1101" w:type="dxa"/>
            <w:tcBorders>
              <w:top w:val="nil"/>
              <w:left w:val="single" w:sz="8" w:space="0" w:color="auto"/>
              <w:bottom w:val="single" w:sz="8" w:space="0" w:color="auto"/>
              <w:right w:val="single" w:sz="4" w:space="0" w:color="auto"/>
            </w:tcBorders>
            <w:shd w:val="clear" w:color="000000" w:fill="95B3D7"/>
            <w:noWrap/>
            <w:vAlign w:val="center"/>
            <w:hideMark/>
          </w:tcPr>
          <w:p w14:paraId="6EE44C18"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1.943</w:t>
            </w:r>
          </w:p>
        </w:tc>
        <w:tc>
          <w:tcPr>
            <w:tcW w:w="1100" w:type="dxa"/>
            <w:tcBorders>
              <w:top w:val="nil"/>
              <w:left w:val="single" w:sz="8" w:space="0" w:color="auto"/>
              <w:bottom w:val="single" w:sz="8" w:space="0" w:color="auto"/>
              <w:right w:val="single" w:sz="4" w:space="0" w:color="auto"/>
            </w:tcBorders>
            <w:shd w:val="clear" w:color="000000" w:fill="95B3D7"/>
            <w:noWrap/>
            <w:vAlign w:val="center"/>
            <w:hideMark/>
          </w:tcPr>
          <w:p w14:paraId="4748147A"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1.982</w:t>
            </w:r>
          </w:p>
        </w:tc>
        <w:tc>
          <w:tcPr>
            <w:tcW w:w="1101" w:type="dxa"/>
            <w:tcBorders>
              <w:top w:val="nil"/>
              <w:left w:val="single" w:sz="8" w:space="0" w:color="auto"/>
              <w:bottom w:val="single" w:sz="8" w:space="0" w:color="auto"/>
              <w:right w:val="single" w:sz="4" w:space="0" w:color="auto"/>
            </w:tcBorders>
            <w:shd w:val="clear" w:color="000000" w:fill="95B3D7"/>
            <w:noWrap/>
            <w:vAlign w:val="center"/>
            <w:hideMark/>
          </w:tcPr>
          <w:p w14:paraId="33466B8E"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2.022</w:t>
            </w:r>
          </w:p>
        </w:tc>
        <w:tc>
          <w:tcPr>
            <w:tcW w:w="1100" w:type="dxa"/>
            <w:tcBorders>
              <w:top w:val="nil"/>
              <w:left w:val="single" w:sz="8" w:space="0" w:color="auto"/>
              <w:bottom w:val="single" w:sz="8" w:space="0" w:color="auto"/>
              <w:right w:val="single" w:sz="4" w:space="0" w:color="auto"/>
            </w:tcBorders>
            <w:shd w:val="clear" w:color="000000" w:fill="95B3D7"/>
            <w:noWrap/>
            <w:vAlign w:val="center"/>
            <w:hideMark/>
          </w:tcPr>
          <w:p w14:paraId="2F98FB42"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2.062</w:t>
            </w:r>
          </w:p>
        </w:tc>
        <w:tc>
          <w:tcPr>
            <w:tcW w:w="1101" w:type="dxa"/>
            <w:tcBorders>
              <w:top w:val="nil"/>
              <w:left w:val="single" w:sz="8" w:space="0" w:color="auto"/>
              <w:bottom w:val="single" w:sz="8" w:space="0" w:color="auto"/>
              <w:right w:val="single" w:sz="4" w:space="0" w:color="auto"/>
            </w:tcBorders>
            <w:shd w:val="clear" w:color="000000" w:fill="95B3D7"/>
            <w:noWrap/>
            <w:vAlign w:val="center"/>
            <w:hideMark/>
          </w:tcPr>
          <w:p w14:paraId="1AEBD032"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2.104</w:t>
            </w:r>
          </w:p>
        </w:tc>
        <w:tc>
          <w:tcPr>
            <w:tcW w:w="1100" w:type="dxa"/>
            <w:tcBorders>
              <w:top w:val="nil"/>
              <w:left w:val="single" w:sz="8" w:space="0" w:color="auto"/>
              <w:bottom w:val="single" w:sz="8" w:space="0" w:color="auto"/>
              <w:right w:val="single" w:sz="4" w:space="0" w:color="auto"/>
            </w:tcBorders>
            <w:shd w:val="clear" w:color="000000" w:fill="95B3D7"/>
            <w:noWrap/>
            <w:vAlign w:val="center"/>
            <w:hideMark/>
          </w:tcPr>
          <w:p w14:paraId="639ED100"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2.147</w:t>
            </w:r>
          </w:p>
        </w:tc>
        <w:tc>
          <w:tcPr>
            <w:tcW w:w="1101" w:type="dxa"/>
            <w:tcBorders>
              <w:top w:val="nil"/>
              <w:left w:val="nil"/>
              <w:bottom w:val="single" w:sz="8" w:space="0" w:color="auto"/>
              <w:right w:val="single" w:sz="8" w:space="0" w:color="auto"/>
            </w:tcBorders>
            <w:shd w:val="clear" w:color="000000" w:fill="95B3D7"/>
            <w:noWrap/>
            <w:vAlign w:val="center"/>
            <w:hideMark/>
          </w:tcPr>
          <w:p w14:paraId="5EC4C7BD" w14:textId="77777777" w:rsidR="005739B7" w:rsidRPr="00BF70ED" w:rsidRDefault="005739B7" w:rsidP="00EC3288">
            <w:pPr>
              <w:spacing w:after="0" w:line="240" w:lineRule="auto"/>
              <w:jc w:val="center"/>
              <w:rPr>
                <w:rFonts w:eastAsia="Times New Roman" w:cstheme="minorHAnsi"/>
                <w:b/>
                <w:bCs/>
                <w:color w:val="000000"/>
                <w:sz w:val="20"/>
                <w:szCs w:val="24"/>
                <w:lang w:val="fr-BE" w:eastAsia="fr-BE"/>
              </w:rPr>
            </w:pPr>
            <w:r w:rsidRPr="00BF70ED">
              <w:rPr>
                <w:rFonts w:eastAsia="Times New Roman" w:cstheme="minorHAnsi"/>
                <w:b/>
                <w:bCs/>
                <w:color w:val="000000"/>
                <w:sz w:val="20"/>
                <w:szCs w:val="24"/>
                <w:lang w:val="fr-BE" w:eastAsia="fr-BE"/>
              </w:rPr>
              <w:t>14.162</w:t>
            </w:r>
          </w:p>
        </w:tc>
      </w:tr>
    </w:tbl>
    <w:p w14:paraId="3DD75D5F" w14:textId="77777777" w:rsidR="005739B7" w:rsidRDefault="005739B7" w:rsidP="005739B7">
      <w:pPr>
        <w:spacing w:after="0"/>
        <w:rPr>
          <w:rFonts w:ascii="Times New Roman" w:eastAsia="Times New Roman" w:hAnsi="Times New Roman" w:cs="Times New Roman"/>
          <w:i/>
          <w:color w:val="000000"/>
          <w:sz w:val="24"/>
          <w:szCs w:val="24"/>
          <w:lang w:eastAsia="fr-BE"/>
        </w:rPr>
      </w:pPr>
      <w:r w:rsidRPr="00964F0F">
        <w:rPr>
          <w:rFonts w:ascii="Times New Roman" w:eastAsia="Times New Roman" w:hAnsi="Times New Roman" w:cs="Times New Roman"/>
          <w:i/>
          <w:color w:val="000000"/>
          <w:sz w:val="24"/>
          <w:szCs w:val="24"/>
          <w:lang w:eastAsia="fr-BE"/>
        </w:rPr>
        <w:t>Current prices are calculated by applying annually a fixed deflator of 2% to the amounts in 2018 prices. Totals do not tally due to rounding.</w:t>
      </w:r>
    </w:p>
    <w:p w14:paraId="0A25D83C" w14:textId="4D07FB25" w:rsidR="005739B7" w:rsidRDefault="005739B7" w:rsidP="005739B7">
      <w:pPr>
        <w:spacing w:after="0"/>
        <w:rPr>
          <w:rFonts w:ascii="Times New Roman" w:eastAsia="Times New Roman" w:hAnsi="Times New Roman" w:cs="Times New Roman"/>
          <w:i/>
          <w:color w:val="000000"/>
          <w:sz w:val="24"/>
          <w:szCs w:val="24"/>
          <w:lang w:eastAsia="fr-BE"/>
        </w:rPr>
      </w:pPr>
    </w:p>
    <w:sectPr w:rsidR="005739B7" w:rsidSect="00F7435B">
      <w:footerReference w:type="even" r:id="rId25"/>
      <w:footerReference w:type="default" r:id="rId26"/>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93AE8" w14:textId="77777777" w:rsidR="0051085D" w:rsidRDefault="0051085D" w:rsidP="00F919C9">
      <w:pPr>
        <w:spacing w:after="0" w:line="240" w:lineRule="auto"/>
      </w:pPr>
      <w:r>
        <w:separator/>
      </w:r>
    </w:p>
  </w:endnote>
  <w:endnote w:type="continuationSeparator" w:id="0">
    <w:p w14:paraId="51D0D6D7" w14:textId="77777777" w:rsidR="0051085D" w:rsidRDefault="0051085D" w:rsidP="00F919C9">
      <w:pPr>
        <w:spacing w:after="0" w:line="240" w:lineRule="auto"/>
      </w:pPr>
      <w:r>
        <w:continuationSeparator/>
      </w:r>
    </w:p>
  </w:endnote>
  <w:endnote w:type="continuationNotice" w:id="1">
    <w:p w14:paraId="41345B44" w14:textId="77777777" w:rsidR="0051085D" w:rsidRDefault="00510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EC Square Sans Pro">
    <w:altName w:val="Bahnschrift Light"/>
    <w:charset w:val="00"/>
    <w:family w:val="swiss"/>
    <w:pitch w:val="variable"/>
    <w:sig w:usb0="00000001" w:usb1="5000E0FB" w:usb2="00000000"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imes New Roman Italic">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59F52" w14:textId="77777777" w:rsidR="00A401E7" w:rsidRDefault="00A401E7" w:rsidP="007C0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EDD087" w14:textId="77777777" w:rsidR="00A401E7" w:rsidRDefault="00A401E7" w:rsidP="00F016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03491"/>
      <w:docPartObj>
        <w:docPartGallery w:val="Page Numbers (Bottom of Page)"/>
        <w:docPartUnique/>
      </w:docPartObj>
    </w:sdtPr>
    <w:sdtEndPr>
      <w:rPr>
        <w:noProof/>
      </w:rPr>
    </w:sdtEndPr>
    <w:sdtContent>
      <w:p w14:paraId="2111B1F4" w14:textId="40E69457" w:rsidR="00A401E7" w:rsidRDefault="00A401E7">
        <w:pPr>
          <w:pStyle w:val="Altbilgi"/>
          <w:jc w:val="center"/>
        </w:pPr>
        <w:r>
          <w:fldChar w:fldCharType="begin"/>
        </w:r>
        <w:r>
          <w:instrText xml:space="preserve"> PAGE   \* MERGEFORMAT </w:instrText>
        </w:r>
        <w:r>
          <w:fldChar w:fldCharType="separate"/>
        </w:r>
        <w:r w:rsidR="00B72555">
          <w:rPr>
            <w:noProof/>
          </w:rPr>
          <w:t>9</w:t>
        </w:r>
        <w:r>
          <w:rPr>
            <w:noProof/>
          </w:rPr>
          <w:fldChar w:fldCharType="end"/>
        </w:r>
      </w:p>
    </w:sdtContent>
  </w:sdt>
  <w:p w14:paraId="7FC318ED" w14:textId="77777777" w:rsidR="00A401E7" w:rsidRDefault="00A401E7" w:rsidP="00F0167E">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F9AA7" w14:textId="77777777" w:rsidR="00A401E7" w:rsidRDefault="00A401E7" w:rsidP="007C0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62CF07B" w14:textId="77777777" w:rsidR="00A401E7" w:rsidRDefault="00A401E7" w:rsidP="00817617">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4997"/>
      <w:docPartObj>
        <w:docPartGallery w:val="Page Numbers (Bottom of Page)"/>
        <w:docPartUnique/>
      </w:docPartObj>
    </w:sdtPr>
    <w:sdtEndPr>
      <w:rPr>
        <w:noProof/>
      </w:rPr>
    </w:sdtEndPr>
    <w:sdtContent>
      <w:p w14:paraId="3D762315" w14:textId="60090EC3" w:rsidR="00A401E7" w:rsidRDefault="00A401E7">
        <w:pPr>
          <w:pStyle w:val="Altbilgi"/>
          <w:jc w:val="center"/>
        </w:pPr>
        <w:r>
          <w:fldChar w:fldCharType="begin"/>
        </w:r>
        <w:r>
          <w:instrText xml:space="preserve"> PAGE   \* MERGEFORMAT </w:instrText>
        </w:r>
        <w:r>
          <w:fldChar w:fldCharType="separate"/>
        </w:r>
        <w:r w:rsidR="00B72555">
          <w:rPr>
            <w:noProof/>
          </w:rPr>
          <w:t>14</w:t>
        </w:r>
        <w:r>
          <w:rPr>
            <w:noProof/>
          </w:rPr>
          <w:fldChar w:fldCharType="end"/>
        </w:r>
      </w:p>
    </w:sdtContent>
  </w:sdt>
  <w:p w14:paraId="782CA322" w14:textId="77777777" w:rsidR="00A401E7" w:rsidRDefault="00A401E7" w:rsidP="00BC4805">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7B14E" w14:textId="77777777" w:rsidR="00A401E7" w:rsidRDefault="00A401E7" w:rsidP="007C0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F99B7A1" w14:textId="77777777" w:rsidR="00A401E7" w:rsidRDefault="00A401E7" w:rsidP="00817617">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241241"/>
      <w:docPartObj>
        <w:docPartGallery w:val="Page Numbers (Bottom of Page)"/>
        <w:docPartUnique/>
      </w:docPartObj>
    </w:sdtPr>
    <w:sdtEndPr>
      <w:rPr>
        <w:noProof/>
      </w:rPr>
    </w:sdtEndPr>
    <w:sdtContent>
      <w:p w14:paraId="7B41943C" w14:textId="7AF66C81" w:rsidR="00A401E7" w:rsidRDefault="00A401E7">
        <w:pPr>
          <w:pStyle w:val="Altbilgi"/>
          <w:jc w:val="center"/>
        </w:pPr>
        <w:r>
          <w:fldChar w:fldCharType="begin"/>
        </w:r>
        <w:r>
          <w:instrText xml:space="preserve"> PAGE   \* MERGEFORMAT </w:instrText>
        </w:r>
        <w:r>
          <w:fldChar w:fldCharType="separate"/>
        </w:r>
        <w:r w:rsidR="0088570F">
          <w:rPr>
            <w:noProof/>
          </w:rPr>
          <w:t>65</w:t>
        </w:r>
        <w:r>
          <w:rPr>
            <w:noProof/>
          </w:rPr>
          <w:fldChar w:fldCharType="end"/>
        </w:r>
      </w:p>
    </w:sdtContent>
  </w:sdt>
  <w:p w14:paraId="1DE0B21E" w14:textId="77777777" w:rsidR="00A401E7" w:rsidRDefault="00A401E7" w:rsidP="00BC4805">
    <w:pPr>
      <w:pStyle w:val="Altbilgi"/>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0DED" w14:textId="77777777" w:rsidR="00A401E7" w:rsidRDefault="00A401E7" w:rsidP="007C0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350482" w14:textId="77777777" w:rsidR="00A401E7" w:rsidRDefault="00A401E7" w:rsidP="00817617">
    <w:pPr>
      <w:pStyle w:val="Altbilgi"/>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91461"/>
      <w:docPartObj>
        <w:docPartGallery w:val="Page Numbers (Bottom of Page)"/>
        <w:docPartUnique/>
      </w:docPartObj>
    </w:sdtPr>
    <w:sdtEndPr>
      <w:rPr>
        <w:noProof/>
      </w:rPr>
    </w:sdtEndPr>
    <w:sdtContent>
      <w:p w14:paraId="02D8FE36" w14:textId="4E6404BE" w:rsidR="00A401E7" w:rsidRDefault="00A401E7">
        <w:pPr>
          <w:pStyle w:val="Altbilgi"/>
          <w:jc w:val="center"/>
        </w:pPr>
        <w:r>
          <w:fldChar w:fldCharType="begin"/>
        </w:r>
        <w:r>
          <w:instrText xml:space="preserve"> PAGE   \* MERGEFORMAT </w:instrText>
        </w:r>
        <w:r>
          <w:fldChar w:fldCharType="separate"/>
        </w:r>
        <w:r w:rsidR="0088570F">
          <w:rPr>
            <w:noProof/>
          </w:rPr>
          <w:t>66</w:t>
        </w:r>
        <w:r>
          <w:rPr>
            <w:noProof/>
          </w:rPr>
          <w:fldChar w:fldCharType="end"/>
        </w:r>
      </w:p>
    </w:sdtContent>
  </w:sdt>
  <w:p w14:paraId="599D1C68" w14:textId="77777777" w:rsidR="00A401E7" w:rsidRDefault="00A401E7" w:rsidP="00BC480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6C72C" w14:textId="77777777" w:rsidR="0051085D" w:rsidRDefault="0051085D" w:rsidP="00F919C9">
      <w:pPr>
        <w:spacing w:after="0" w:line="240" w:lineRule="auto"/>
      </w:pPr>
      <w:r>
        <w:separator/>
      </w:r>
    </w:p>
  </w:footnote>
  <w:footnote w:type="continuationSeparator" w:id="0">
    <w:p w14:paraId="2EEC61FA" w14:textId="77777777" w:rsidR="0051085D" w:rsidRDefault="0051085D" w:rsidP="00F919C9">
      <w:pPr>
        <w:spacing w:after="0" w:line="240" w:lineRule="auto"/>
      </w:pPr>
      <w:r>
        <w:continuationSeparator/>
      </w:r>
    </w:p>
  </w:footnote>
  <w:footnote w:type="continuationNotice" w:id="1">
    <w:p w14:paraId="2CE75090" w14:textId="77777777" w:rsidR="0051085D" w:rsidRDefault="0051085D">
      <w:pPr>
        <w:spacing w:after="0" w:line="240" w:lineRule="auto"/>
      </w:pPr>
    </w:p>
  </w:footnote>
  <w:footnote w:id="2">
    <w:p w14:paraId="77D7180E" w14:textId="156D9DA4" w:rsidR="00A401E7" w:rsidRPr="00844600" w:rsidRDefault="00A401E7" w:rsidP="00BC2A65">
      <w:pPr>
        <w:pStyle w:val="DipnotMetni"/>
        <w:rPr>
          <w:rFonts w:ascii="Times New Roman" w:hAnsi="Times New Roman" w:cs="Times New Roman"/>
        </w:rPr>
      </w:pPr>
      <w:r>
        <w:rPr>
          <w:rStyle w:val="DipnotBavurusu"/>
        </w:rPr>
        <w:footnoteRef/>
      </w:r>
      <w:r w:rsidRPr="75FC8FFD">
        <w:t xml:space="preserve"> </w:t>
      </w:r>
      <w:r w:rsidRPr="00BC2A65">
        <w:t xml:space="preserve"> </w:t>
      </w:r>
      <w:r w:rsidRPr="00844600">
        <w:rPr>
          <w:rFonts w:ascii="Times New Roman" w:hAnsi="Times New Roman" w:cs="Times New Roman"/>
        </w:rPr>
        <w:t xml:space="preserve">COUNCIL REGULATION (EU, Euratom) 2020/2093 of 17 December 2020 laying down the multiannual financial framework for the years 2021 to 2027 - </w:t>
      </w:r>
      <w:hyperlink r:id="rId1" w:history="1">
        <w:r w:rsidRPr="00844600">
          <w:rPr>
            <w:rStyle w:val="Kpr"/>
            <w:rFonts w:ascii="Times New Roman" w:hAnsi="Times New Roman" w:cs="Times New Roman"/>
          </w:rPr>
          <w:t>EUR-Lex - 32020R2093 - EN - EUR-Lex (europa.eu)</w:t>
        </w:r>
      </w:hyperlink>
    </w:p>
  </w:footnote>
  <w:footnote w:id="3">
    <w:p w14:paraId="79C1572E" w14:textId="77777777" w:rsidR="00A401E7" w:rsidRPr="00844600" w:rsidRDefault="00A401E7" w:rsidP="005739B7">
      <w:pPr>
        <w:pStyle w:val="DipnotMetni"/>
        <w:rPr>
          <w:rFonts w:ascii="Times New Roman" w:hAnsi="Times New Roman" w:cs="Times New Roman"/>
          <w:lang w:val="en-US"/>
        </w:rPr>
      </w:pPr>
      <w:r w:rsidRPr="00844600">
        <w:rPr>
          <w:rStyle w:val="DipnotBavurusu"/>
          <w:rFonts w:ascii="Times New Roman" w:hAnsi="Times New Roman" w:cs="Times New Roman"/>
        </w:rPr>
        <w:t xml:space="preserve">* </w:t>
      </w:r>
      <w:r w:rsidRPr="00844600">
        <w:rPr>
          <w:rFonts w:ascii="Times New Roman" w:eastAsia="Calibri" w:hAnsi="Times New Roman" w:cs="Times New Roman"/>
        </w:rPr>
        <w:t>This designation is without prejudice to positions on status, and is in line with UNSCR 1244/1999 and the ICJ Opinion on the Kosovo declaration of independence.</w:t>
      </w:r>
    </w:p>
  </w:footnote>
  <w:footnote w:id="4">
    <w:p w14:paraId="093A6B29" w14:textId="77777777" w:rsidR="00A401E7" w:rsidRPr="00844600" w:rsidRDefault="00A401E7" w:rsidP="005739B7">
      <w:pPr>
        <w:pStyle w:val="DipnotMetni"/>
        <w:rPr>
          <w:rFonts w:ascii="Times New Roman" w:hAnsi="Times New Roman" w:cs="Times New Roman"/>
        </w:rPr>
      </w:pPr>
      <w:r w:rsidRPr="00844600">
        <w:rPr>
          <w:rStyle w:val="DipnotBavurusu"/>
          <w:rFonts w:ascii="Times New Roman" w:hAnsi="Times New Roman" w:cs="Times New Roman"/>
        </w:rPr>
        <w:footnoteRef/>
      </w:r>
      <w:r w:rsidRPr="00844600">
        <w:rPr>
          <w:rFonts w:ascii="Times New Roman" w:hAnsi="Times New Roman" w:cs="Times New Roman"/>
        </w:rPr>
        <w:t xml:space="preserve"> COM(2020) 57 final</w:t>
      </w:r>
    </w:p>
  </w:footnote>
  <w:footnote w:id="5">
    <w:p w14:paraId="08E938F8" w14:textId="2D9304F0" w:rsidR="00A401E7" w:rsidRDefault="00A401E7">
      <w:pPr>
        <w:pStyle w:val="DipnotMetni"/>
      </w:pPr>
      <w:r w:rsidRPr="00844600">
        <w:rPr>
          <w:rStyle w:val="DipnotBavurusu"/>
          <w:rFonts w:ascii="Times New Roman" w:hAnsi="Times New Roman" w:cs="Times New Roman"/>
        </w:rPr>
        <w:footnoteRef/>
      </w:r>
      <w:r w:rsidRPr="00844600">
        <w:rPr>
          <w:rFonts w:ascii="Times New Roman" w:hAnsi="Times New Roman" w:cs="Times New Roman"/>
        </w:rPr>
        <w:t xml:space="preserve"> https://data.consilium.europa.eu/doc/document/ST-7002-2020-INIT/en/pdf</w:t>
      </w:r>
    </w:p>
  </w:footnote>
  <w:footnote w:id="6">
    <w:p w14:paraId="212DC9A8" w14:textId="77777777" w:rsidR="00A401E7" w:rsidRPr="00FE1162" w:rsidRDefault="00A401E7" w:rsidP="005739B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COM(2020) 641 final.</w:t>
      </w:r>
    </w:p>
  </w:footnote>
  <w:footnote w:id="7">
    <w:p w14:paraId="749DE9A0" w14:textId="77777777" w:rsidR="00A401E7" w:rsidRPr="00844600" w:rsidRDefault="00A401E7" w:rsidP="005739B7">
      <w:pPr>
        <w:pStyle w:val="DipnotMetni"/>
        <w:rPr>
          <w:rFonts w:ascii="Times New Roman" w:hAnsi="Times New Roman" w:cs="Times New Roman"/>
        </w:rPr>
      </w:pPr>
      <w:r w:rsidRPr="00844600">
        <w:rPr>
          <w:rStyle w:val="DipnotBavurusu"/>
          <w:rFonts w:ascii="Times New Roman" w:hAnsi="Times New Roman" w:cs="Times New Roman"/>
        </w:rPr>
        <w:footnoteRef/>
      </w:r>
      <w:r w:rsidRPr="00844600">
        <w:rPr>
          <w:rFonts w:ascii="Times New Roman" w:hAnsi="Times New Roman" w:cs="Times New Roman"/>
        </w:rPr>
        <w:t xml:space="preserve"> Communication from the Commission to the European Parliament, the Council, the European Economic and Social Committee and the Committee of the Regions (6 February 2018) </w:t>
      </w:r>
    </w:p>
    <w:p w14:paraId="691896C9" w14:textId="77777777" w:rsidR="00A401E7" w:rsidRPr="00844600" w:rsidRDefault="0051085D" w:rsidP="005739B7">
      <w:pPr>
        <w:pStyle w:val="DipnotMetni"/>
        <w:rPr>
          <w:rFonts w:ascii="Times New Roman" w:hAnsi="Times New Roman" w:cs="Times New Roman"/>
        </w:rPr>
      </w:pPr>
      <w:hyperlink r:id="rId2" w:history="1">
        <w:r w:rsidR="00A401E7" w:rsidRPr="00844600">
          <w:rPr>
            <w:rStyle w:val="Kpr"/>
            <w:rFonts w:ascii="Times New Roman" w:hAnsi="Times New Roman" w:cs="Times New Roman"/>
            <w:sz w:val="16"/>
            <w:szCs w:val="16"/>
          </w:rPr>
          <w:t>https://ec.europa.eu/commission/sites/beta-political/files/communication-credible-enlargement-perspective-western-balkans_en.pdf</w:t>
        </w:r>
      </w:hyperlink>
      <w:r w:rsidR="00A401E7" w:rsidRPr="00844600">
        <w:rPr>
          <w:rFonts w:ascii="Times New Roman" w:hAnsi="Times New Roman" w:cs="Times New Roman"/>
          <w:sz w:val="16"/>
          <w:szCs w:val="16"/>
        </w:rPr>
        <w:t xml:space="preserve"> </w:t>
      </w:r>
    </w:p>
  </w:footnote>
  <w:footnote w:id="8">
    <w:p w14:paraId="1B99EEA6" w14:textId="4A3537BD" w:rsidR="00A401E7" w:rsidRPr="00844600" w:rsidRDefault="00A401E7" w:rsidP="00EE314A">
      <w:pPr>
        <w:pStyle w:val="DipnotMetni"/>
        <w:jc w:val="both"/>
        <w:rPr>
          <w:rFonts w:ascii="Times New Roman" w:hAnsi="Times New Roman" w:cs="Times New Roman"/>
        </w:rPr>
      </w:pPr>
      <w:r w:rsidRPr="00844600">
        <w:rPr>
          <w:rStyle w:val="DipnotBavurusu"/>
          <w:rFonts w:ascii="Times New Roman" w:hAnsi="Times New Roman" w:cs="Times New Roman"/>
        </w:rPr>
        <w:footnoteRef/>
      </w:r>
      <w:r w:rsidRPr="00844600">
        <w:rPr>
          <w:rFonts w:ascii="Times New Roman" w:hAnsi="Times New Roman" w:cs="Times New Roman"/>
        </w:rPr>
        <w:t xml:space="preserve"> R</w:t>
      </w:r>
      <w:r>
        <w:rPr>
          <w:rFonts w:ascii="Times New Roman" w:hAnsi="Times New Roman" w:cs="Times New Roman"/>
        </w:rPr>
        <w:t>egulation</w:t>
      </w:r>
      <w:r w:rsidRPr="00844600">
        <w:rPr>
          <w:rFonts w:ascii="Times New Roman" w:hAnsi="Times New Roman" w:cs="Times New Roman"/>
        </w:rPr>
        <w:t xml:space="preserve"> (EU) 2021/947 </w:t>
      </w:r>
      <w:r>
        <w:rPr>
          <w:rFonts w:ascii="Times New Roman" w:hAnsi="Times New Roman" w:cs="Times New Roman"/>
        </w:rPr>
        <w:t>of the European Parliament</w:t>
      </w:r>
      <w:r w:rsidRPr="00844600">
        <w:rPr>
          <w:rFonts w:ascii="Times New Roman" w:hAnsi="Times New Roman" w:cs="Times New Roman"/>
        </w:rPr>
        <w:t xml:space="preserve"> and of the </w:t>
      </w:r>
      <w:r>
        <w:rPr>
          <w:rFonts w:ascii="Times New Roman" w:hAnsi="Times New Roman" w:cs="Times New Roman"/>
        </w:rPr>
        <w:t>C</w:t>
      </w:r>
      <w:r w:rsidRPr="00844600">
        <w:rPr>
          <w:rFonts w:ascii="Times New Roman" w:hAnsi="Times New Roman" w:cs="Times New Roman"/>
        </w:rPr>
        <w:t>ouncil of 9 June 2021 establishing the Neighbourhood, Development and International Cooperation Instrument – Global Europe, amending and repealing Decision No 466/2014/EU and repealing Regulation (EU) 2017/1601 and Council Regulation (EC, Euratom) No 480/2009</w:t>
      </w:r>
    </w:p>
  </w:footnote>
  <w:footnote w:id="9">
    <w:p w14:paraId="6F5D7A01" w14:textId="77777777" w:rsidR="00A401E7" w:rsidRPr="00844600" w:rsidRDefault="00A401E7" w:rsidP="005739B7">
      <w:pPr>
        <w:pStyle w:val="DipnotMetni"/>
        <w:rPr>
          <w:rFonts w:ascii="Times New Roman" w:hAnsi="Times New Roman" w:cs="Times New Roman"/>
        </w:rPr>
      </w:pPr>
      <w:r w:rsidRPr="00844600">
        <w:rPr>
          <w:rStyle w:val="DipnotBavurusu"/>
          <w:rFonts w:ascii="Times New Roman" w:hAnsi="Times New Roman" w:cs="Times New Roman"/>
        </w:rPr>
        <w:footnoteRef/>
      </w:r>
      <w:r w:rsidRPr="00844600">
        <w:rPr>
          <w:rFonts w:ascii="Times New Roman" w:hAnsi="Times New Roman" w:cs="Times New Roman"/>
        </w:rPr>
        <w:t xml:space="preserve"> SWD(2020) 223 final.</w:t>
      </w:r>
    </w:p>
  </w:footnote>
  <w:footnote w:id="10">
    <w:p w14:paraId="6DB3633A" w14:textId="77777777" w:rsidR="00A401E7" w:rsidRDefault="00A401E7" w:rsidP="00844600">
      <w:pPr>
        <w:pStyle w:val="DipnotMetni"/>
      </w:pPr>
      <w:r w:rsidRPr="00844600">
        <w:rPr>
          <w:rStyle w:val="DipnotBavurusu"/>
          <w:rFonts w:ascii="Times New Roman" w:hAnsi="Times New Roman" w:cs="Times New Roman"/>
        </w:rPr>
        <w:footnoteRef/>
      </w:r>
      <w:r w:rsidRPr="00844600">
        <w:rPr>
          <w:rFonts w:ascii="Times New Roman" w:hAnsi="Times New Roman" w:cs="Times New Roman"/>
        </w:rPr>
        <w:t xml:space="preserve"> COM/2019/640 final</w:t>
      </w:r>
    </w:p>
  </w:footnote>
  <w:footnote w:id="11">
    <w:p w14:paraId="58A8AB04" w14:textId="2D38A577" w:rsidR="00A401E7" w:rsidRPr="005E1C9E" w:rsidRDefault="00A401E7" w:rsidP="005739B7">
      <w:pPr>
        <w:pStyle w:val="DipnotMetni"/>
        <w:rPr>
          <w:rFonts w:ascii="Times New Roman" w:hAnsi="Times New Roman" w:cs="Times New Roman"/>
        </w:rPr>
      </w:pPr>
      <w:r w:rsidRPr="005E1C9E">
        <w:rPr>
          <w:rStyle w:val="DipnotBavurusu"/>
          <w:rFonts w:ascii="Times New Roman" w:hAnsi="Times New Roman" w:cs="Times New Roman"/>
        </w:rPr>
        <w:footnoteRef/>
      </w:r>
      <w:r w:rsidRPr="005E1C9E">
        <w:rPr>
          <w:rFonts w:ascii="Times New Roman" w:hAnsi="Times New Roman" w:cs="Times New Roman"/>
        </w:rPr>
        <w:t xml:space="preserve"> Digital COMPASS Communication, </w:t>
      </w:r>
      <w:r w:rsidRPr="00091B11">
        <w:rPr>
          <w:rFonts w:ascii="Times New Roman" w:hAnsi="Times New Roman" w:cs="Times New Roman"/>
        </w:rPr>
        <w:t>https://ec.europa.eu/info/sites/default/files/communication-digital-compass-2030_en.pdf</w:t>
      </w:r>
    </w:p>
  </w:footnote>
  <w:footnote w:id="12">
    <w:p w14:paraId="38E6AD98" w14:textId="72482506" w:rsidR="00A401E7" w:rsidRDefault="00A401E7">
      <w:pPr>
        <w:pStyle w:val="DipnotMetni"/>
      </w:pPr>
      <w:r w:rsidRPr="005E1C9E">
        <w:rPr>
          <w:rStyle w:val="DipnotBavurusu"/>
          <w:rFonts w:ascii="Times New Roman" w:hAnsi="Times New Roman" w:cs="Times New Roman"/>
        </w:rPr>
        <w:footnoteRef/>
      </w:r>
      <w:r w:rsidRPr="005E1C9E">
        <w:rPr>
          <w:rFonts w:ascii="Times New Roman" w:hAnsi="Times New Roman" w:cs="Times New Roman"/>
        </w:rPr>
        <w:t xml:space="preserve"> </w:t>
      </w:r>
      <w:hyperlink r:id="rId3" w:history="1">
        <w:r w:rsidRPr="00125461">
          <w:rPr>
            <w:rFonts w:ascii="Times New Roman" w:hAnsi="Times New Roman" w:cs="Times New Roman"/>
            <w:color w:val="0000FF"/>
            <w:szCs w:val="22"/>
            <w:u w:val="single"/>
          </w:rPr>
          <w:t>21252030 Agenda for Sustainable Development web.pdf (un.org)</w:t>
        </w:r>
      </w:hyperlink>
    </w:p>
  </w:footnote>
  <w:footnote w:id="13">
    <w:p w14:paraId="6F7B66F6" w14:textId="33936985" w:rsidR="00A401E7" w:rsidRPr="00125461" w:rsidRDefault="00A401E7">
      <w:pPr>
        <w:pStyle w:val="DipnotMetni"/>
      </w:pPr>
      <w:r>
        <w:rPr>
          <w:rStyle w:val="DipnotBavurusu"/>
        </w:rPr>
        <w:footnoteRef/>
      </w:r>
      <w:r w:rsidRPr="00125461">
        <w:t xml:space="preserve"> </w:t>
      </w:r>
      <w:r w:rsidRPr="00125461">
        <w:rPr>
          <w:rFonts w:ascii="Times New Roman" w:hAnsi="Times New Roman" w:cs="Times New Roman"/>
          <w:szCs w:val="22"/>
        </w:rPr>
        <w:t>https://data.consilium.europa.eu/doc/document/ST-9283-2020-INIT/en/pdf</w:t>
      </w:r>
    </w:p>
  </w:footnote>
  <w:footnote w:id="14">
    <w:p w14:paraId="59B5967D" w14:textId="77777777" w:rsidR="00A401E7" w:rsidRPr="00FE1162" w:rsidRDefault="00A401E7" w:rsidP="005739B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Pursuant to Articles 99(3) and 104(1) of the Council Regulation (EU) 2017/1939 of 12 October 2017 implementing enhanced cooperation on the establishment of the European Public Prosecutor’s Office</w:t>
      </w:r>
    </w:p>
  </w:footnote>
  <w:footnote w:id="15">
    <w:p w14:paraId="265B11AD" w14:textId="6FA265B0" w:rsidR="00A401E7" w:rsidRPr="00FE1162" w:rsidRDefault="00A401E7" w:rsidP="005739B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https://ec.europa.eu/home-affairs/sites/homeaffairs/files/news/docs/20181005_joint-action-plan-counter-terrorism-western-balkans.pdf</w:t>
      </w:r>
    </w:p>
  </w:footnote>
  <w:footnote w:id="16">
    <w:p w14:paraId="371A21C5" w14:textId="53F97A5E" w:rsidR="00A401E7" w:rsidRDefault="00A401E7">
      <w:pPr>
        <w:pStyle w:val="DipnotMetni"/>
      </w:pPr>
      <w:r w:rsidRPr="00FE1162">
        <w:rPr>
          <w:rStyle w:val="DipnotBavurusu"/>
          <w:rFonts w:ascii="Times New Roman" w:hAnsi="Times New Roman" w:cs="Times New Roman"/>
        </w:rPr>
        <w:footnoteRef/>
      </w:r>
      <w:r w:rsidRPr="00FE1162">
        <w:rPr>
          <w:rFonts w:ascii="Times New Roman" w:hAnsi="Times New Roman" w:cs="Times New Roman"/>
        </w:rPr>
        <w:t xml:space="preserve"> COM(2020) 609 final</w:t>
      </w:r>
    </w:p>
  </w:footnote>
  <w:footnote w:id="17">
    <w:p w14:paraId="0EC1F2A4" w14:textId="77777777" w:rsidR="00A401E7" w:rsidRPr="00FE1162" w:rsidRDefault="00A401E7" w:rsidP="005739B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In line with the European Commission Recommendation on Standards for Equality Bodies, 22 June 2018, C(2018) 3850 final.</w:t>
      </w:r>
    </w:p>
  </w:footnote>
  <w:footnote w:id="18">
    <w:p w14:paraId="41863A6C" w14:textId="77777777" w:rsidR="00A401E7" w:rsidRPr="00E14AB4" w:rsidRDefault="00A401E7" w:rsidP="005739B7">
      <w:pPr>
        <w:pStyle w:val="DipnotMetni"/>
        <w:rPr>
          <w:rFonts w:ascii="Times New Roman" w:hAnsi="Times New Roman" w:cs="Times New Roman"/>
          <w:lang w:val="en-US"/>
        </w:rPr>
      </w:pPr>
      <w:r w:rsidRPr="00E14AB4">
        <w:rPr>
          <w:rStyle w:val="DipnotBavurusu"/>
          <w:rFonts w:ascii="Times New Roman" w:hAnsi="Times New Roman" w:cs="Times New Roman"/>
        </w:rPr>
        <w:footnoteRef/>
      </w:r>
      <w:r w:rsidRPr="00E14AB4">
        <w:rPr>
          <w:rFonts w:ascii="Times New Roman" w:hAnsi="Times New Roman" w:cs="Times New Roman"/>
        </w:rPr>
        <w:t xml:space="preserve"> Commission Delegated Regulation (EU) No 240/2014 of 7 January 2014</w:t>
      </w:r>
    </w:p>
  </w:footnote>
  <w:footnote w:id="19">
    <w:p w14:paraId="66625A9E" w14:textId="610C790F" w:rsidR="00A401E7" w:rsidRPr="00E14AB4" w:rsidRDefault="00A401E7">
      <w:pPr>
        <w:pStyle w:val="DipnotMetni"/>
        <w:rPr>
          <w:rFonts w:ascii="Times New Roman" w:hAnsi="Times New Roman" w:cs="Times New Roman"/>
        </w:rPr>
      </w:pPr>
      <w:r w:rsidRPr="00E14AB4">
        <w:rPr>
          <w:rStyle w:val="DipnotBavurusu"/>
          <w:rFonts w:ascii="Times New Roman" w:hAnsi="Times New Roman" w:cs="Times New Roman"/>
        </w:rPr>
        <w:footnoteRef/>
      </w:r>
      <w:r w:rsidRPr="00E14AB4">
        <w:rPr>
          <w:rFonts w:ascii="Times New Roman" w:hAnsi="Times New Roman" w:cs="Times New Roman"/>
        </w:rPr>
        <w:t xml:space="preserve"> These are impact and context indicators. Their variation may not be solely and directly attributed to IPA support. </w:t>
      </w:r>
    </w:p>
  </w:footnote>
  <w:footnote w:id="20">
    <w:p w14:paraId="7011A00F" w14:textId="6DA5704F" w:rsidR="00A401E7" w:rsidRPr="00E14AB4" w:rsidRDefault="00A401E7">
      <w:pPr>
        <w:pStyle w:val="DipnotMetni"/>
        <w:rPr>
          <w:rFonts w:ascii="Times New Roman" w:hAnsi="Times New Roman" w:cs="Times New Roman"/>
        </w:rPr>
      </w:pPr>
      <w:r w:rsidRPr="00E14AB4">
        <w:rPr>
          <w:rStyle w:val="DipnotBavurusu"/>
          <w:rFonts w:ascii="Times New Roman" w:hAnsi="Times New Roman" w:cs="Times New Roman"/>
        </w:rPr>
        <w:footnoteRef/>
      </w:r>
      <w:r w:rsidRPr="00E14AB4">
        <w:rPr>
          <w:rFonts w:ascii="Times New Roman" w:hAnsi="Times New Roman" w:cs="Times New Roman"/>
        </w:rPr>
        <w:t xml:space="preserve"> This is a composite indicator </w:t>
      </w:r>
      <w:r>
        <w:rPr>
          <w:rFonts w:ascii="Times New Roman" w:hAnsi="Times New Roman" w:cs="Times New Roman"/>
        </w:rPr>
        <w:t>that</w:t>
      </w:r>
      <w:r w:rsidRPr="00E14AB4">
        <w:rPr>
          <w:rFonts w:ascii="Times New Roman" w:hAnsi="Times New Roman" w:cs="Times New Roman"/>
        </w:rPr>
        <w:t xml:space="preserve"> includes also scores from the indicators 2, 3, 4, 7 and 8 below.</w:t>
      </w:r>
    </w:p>
  </w:footnote>
  <w:footnote w:id="21">
    <w:p w14:paraId="44CB7756" w14:textId="74A57E62" w:rsidR="00A401E7" w:rsidRPr="00E14AB4" w:rsidRDefault="00A401E7">
      <w:pPr>
        <w:pStyle w:val="DipnotMetni"/>
        <w:rPr>
          <w:rFonts w:ascii="Times New Roman" w:hAnsi="Times New Roman" w:cs="Times New Roman"/>
        </w:rPr>
      </w:pPr>
      <w:r w:rsidRPr="00E14AB4">
        <w:rPr>
          <w:rStyle w:val="DipnotBavurusu"/>
          <w:rFonts w:ascii="Times New Roman" w:hAnsi="Times New Roman" w:cs="Times New Roman"/>
        </w:rPr>
        <w:footnoteRef/>
      </w:r>
      <w:r w:rsidRPr="00E14AB4">
        <w:rPr>
          <w:rFonts w:ascii="Times New Roman" w:hAnsi="Times New Roman" w:cs="Times New Roman"/>
        </w:rPr>
        <w:t xml:space="preserve"> This indicator is used also as a sub-indicator to calculate the composite indicator 1 above. </w:t>
      </w:r>
    </w:p>
  </w:footnote>
  <w:footnote w:id="22">
    <w:p w14:paraId="1D3EC183" w14:textId="2B4A1030" w:rsidR="00A401E7" w:rsidRPr="00E14AB4" w:rsidRDefault="00A401E7">
      <w:pPr>
        <w:pStyle w:val="DipnotMetni"/>
        <w:rPr>
          <w:rFonts w:ascii="Times New Roman" w:hAnsi="Times New Roman" w:cs="Times New Roman"/>
        </w:rPr>
      </w:pPr>
      <w:r w:rsidRPr="00E14AB4">
        <w:rPr>
          <w:rStyle w:val="DipnotBavurusu"/>
          <w:rFonts w:ascii="Times New Roman" w:hAnsi="Times New Roman" w:cs="Times New Roman"/>
        </w:rPr>
        <w:footnoteRef/>
      </w:r>
      <w:r w:rsidRPr="00E14AB4">
        <w:rPr>
          <w:rFonts w:ascii="Times New Roman" w:hAnsi="Times New Roman" w:cs="Times New Roman"/>
        </w:rPr>
        <w:t xml:space="preserve"> This indicator is used also as a sub-indicator to calculate the composite indicator 1 above.</w:t>
      </w:r>
    </w:p>
  </w:footnote>
  <w:footnote w:id="23">
    <w:p w14:paraId="0EAD8DE8" w14:textId="7A1CBFE8" w:rsidR="00A401E7" w:rsidRDefault="00A401E7">
      <w:pPr>
        <w:pStyle w:val="DipnotMetni"/>
      </w:pPr>
      <w:r w:rsidRPr="00E14AB4">
        <w:rPr>
          <w:rStyle w:val="DipnotBavurusu"/>
          <w:rFonts w:ascii="Times New Roman" w:hAnsi="Times New Roman" w:cs="Times New Roman"/>
        </w:rPr>
        <w:footnoteRef/>
      </w:r>
      <w:r w:rsidRPr="00E14AB4">
        <w:rPr>
          <w:rFonts w:ascii="Times New Roman" w:hAnsi="Times New Roman" w:cs="Times New Roman"/>
        </w:rPr>
        <w:t xml:space="preserve"> This indicator is used also as a sub-indicator to calculate the composite indicator 1 above.</w:t>
      </w:r>
    </w:p>
  </w:footnote>
  <w:footnote w:id="24">
    <w:p w14:paraId="64143175" w14:textId="3F0B2BA4" w:rsidR="00A401E7" w:rsidRPr="00FE1162" w:rsidRDefault="00A401E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This indicator is used also as a sub-indicator to calculate the composite indicator 1 above.</w:t>
      </w:r>
    </w:p>
  </w:footnote>
  <w:footnote w:id="25">
    <w:p w14:paraId="29C8269F" w14:textId="6A681372" w:rsidR="00A401E7" w:rsidRPr="00F01F81" w:rsidRDefault="00A401E7">
      <w:pPr>
        <w:pStyle w:val="DipnotMetni"/>
        <w:rPr>
          <w:rFonts w:ascii="Times New Roman" w:hAnsi="Times New Roman" w:cs="Times New Roman"/>
        </w:rPr>
      </w:pPr>
      <w:r w:rsidRPr="00F01F81">
        <w:rPr>
          <w:rStyle w:val="DipnotBavurusu"/>
          <w:rFonts w:ascii="Times New Roman" w:hAnsi="Times New Roman" w:cs="Times New Roman"/>
        </w:rPr>
        <w:footnoteRef/>
      </w:r>
      <w:r w:rsidRPr="00F01F81">
        <w:rPr>
          <w:rFonts w:ascii="Times New Roman" w:hAnsi="Times New Roman" w:cs="Times New Roman"/>
        </w:rPr>
        <w:t xml:space="preserve"> https://ec.europa.eu/regional_policy/sources/cooperate/adriat_ionian/pdf/com_357_en.pdf</w:t>
      </w:r>
    </w:p>
  </w:footnote>
  <w:footnote w:id="26">
    <w:p w14:paraId="52134852" w14:textId="07A974B8" w:rsidR="00A401E7" w:rsidRPr="00F01F81" w:rsidRDefault="00A401E7">
      <w:pPr>
        <w:pStyle w:val="DipnotMetni"/>
        <w:rPr>
          <w:rFonts w:ascii="Times New Roman" w:hAnsi="Times New Roman" w:cs="Times New Roman"/>
        </w:rPr>
      </w:pPr>
      <w:r w:rsidRPr="00F01F81">
        <w:rPr>
          <w:rStyle w:val="DipnotBavurusu"/>
          <w:rFonts w:ascii="Times New Roman" w:hAnsi="Times New Roman" w:cs="Times New Roman"/>
        </w:rPr>
        <w:footnoteRef/>
      </w:r>
      <w:r w:rsidRPr="00F01F81">
        <w:rPr>
          <w:rFonts w:ascii="Times New Roman" w:hAnsi="Times New Roman" w:cs="Times New Roman"/>
        </w:rPr>
        <w:t xml:space="preserve"> https://eur-lex.europa.eu/legal-content/EN/TXT/PDF/?uri=CELEX:52010DC0715&amp;from=EN</w:t>
      </w:r>
    </w:p>
  </w:footnote>
  <w:footnote w:id="27">
    <w:p w14:paraId="557C0797" w14:textId="77777777" w:rsidR="00A401E7" w:rsidRPr="00224FA1" w:rsidRDefault="00A401E7" w:rsidP="005739B7">
      <w:pPr>
        <w:pStyle w:val="DipnotMetni"/>
        <w:rPr>
          <w:rFonts w:ascii="Times New Roman" w:hAnsi="Times New Roman" w:cs="Times New Roman"/>
        </w:rPr>
      </w:pPr>
      <w:r w:rsidRPr="00224FA1">
        <w:rPr>
          <w:rStyle w:val="DipnotBavurusu"/>
          <w:rFonts w:ascii="Times New Roman" w:hAnsi="Times New Roman" w:cs="Times New Roman"/>
        </w:rPr>
        <w:footnoteRef/>
      </w:r>
      <w:r w:rsidRPr="00224FA1">
        <w:rPr>
          <w:rFonts w:ascii="Times New Roman" w:hAnsi="Times New Roman" w:cs="Times New Roman"/>
        </w:rPr>
        <w:t xml:space="preserve"> http://www.sigmaweb.org/publications/principles-public-administration-eu-candidate-countries-and-potential-candidates.htm</w:t>
      </w:r>
    </w:p>
  </w:footnote>
  <w:footnote w:id="28">
    <w:p w14:paraId="27A4610E" w14:textId="77777777" w:rsidR="00A401E7" w:rsidRPr="00326338" w:rsidRDefault="00A401E7" w:rsidP="000C64C7">
      <w:pPr>
        <w:pStyle w:val="DipnotMetni"/>
        <w:rPr>
          <w:rFonts w:ascii="Times New Roman" w:hAnsi="Times New Roman" w:cs="Times New Roman"/>
        </w:rPr>
      </w:pPr>
      <w:r w:rsidRPr="00326338">
        <w:rPr>
          <w:rStyle w:val="DipnotBavurusu"/>
          <w:rFonts w:ascii="Times New Roman" w:hAnsi="Times New Roman" w:cs="Times New Roman"/>
        </w:rPr>
        <w:footnoteRef/>
      </w:r>
      <w:r w:rsidRPr="00326338">
        <w:rPr>
          <w:rFonts w:ascii="Times New Roman" w:hAnsi="Times New Roman" w:cs="Times New Roman"/>
        </w:rPr>
        <w:t xml:space="preserve"> These are impact and context indicators. Their variation may not be solely and directly attributed to IPA support.</w:t>
      </w:r>
    </w:p>
  </w:footnote>
  <w:footnote w:id="29">
    <w:p w14:paraId="0CE7151A" w14:textId="1FE02B19" w:rsidR="00A401E7" w:rsidRDefault="00A401E7">
      <w:pPr>
        <w:pStyle w:val="DipnotMetni"/>
      </w:pPr>
      <w:r w:rsidRPr="00326338">
        <w:rPr>
          <w:rStyle w:val="DipnotBavurusu"/>
          <w:rFonts w:ascii="Times New Roman" w:hAnsi="Times New Roman" w:cs="Times New Roman"/>
        </w:rPr>
        <w:footnoteRef/>
      </w:r>
      <w:r w:rsidRPr="00326338">
        <w:rPr>
          <w:rFonts w:ascii="Times New Roman" w:hAnsi="Times New Roman" w:cs="Times New Roman"/>
        </w:rPr>
        <w:t xml:space="preserve"> This indicator is used also as a sub-indicator to calculate the composite indicator 1 above.</w:t>
      </w:r>
    </w:p>
  </w:footnote>
  <w:footnote w:id="30">
    <w:p w14:paraId="0C28ACC0" w14:textId="77777777" w:rsidR="00A401E7" w:rsidRDefault="00A401E7" w:rsidP="006A550A">
      <w:pPr>
        <w:pStyle w:val="DipnotMetni"/>
      </w:pPr>
      <w:r>
        <w:rPr>
          <w:rStyle w:val="DipnotBavurusu"/>
        </w:rPr>
        <w:footnoteRef/>
      </w:r>
      <w:r>
        <w:t xml:space="preserve"> Cumulative up to March 2021</w:t>
      </w:r>
    </w:p>
  </w:footnote>
  <w:footnote w:id="31">
    <w:p w14:paraId="4ED78330" w14:textId="25E51073" w:rsidR="00A401E7" w:rsidRPr="004B2EC0" w:rsidRDefault="00A401E7">
      <w:pPr>
        <w:pStyle w:val="DipnotMetni"/>
        <w:rPr>
          <w:rFonts w:ascii="Times New Roman" w:hAnsi="Times New Roman" w:cs="Times New Roman"/>
        </w:rPr>
      </w:pPr>
      <w:r w:rsidRPr="004B2EC0">
        <w:rPr>
          <w:rStyle w:val="DipnotBavurusu"/>
          <w:rFonts w:ascii="Times New Roman" w:hAnsi="Times New Roman" w:cs="Times New Roman"/>
        </w:rPr>
        <w:footnoteRef/>
      </w:r>
      <w:r w:rsidRPr="004B2EC0">
        <w:rPr>
          <w:rFonts w:ascii="Times New Roman" w:hAnsi="Times New Roman" w:cs="Times New Roman"/>
        </w:rPr>
        <w:t xml:space="preserve"> Including the Joint Communication “Connecting Europe and Asia” (</w:t>
      </w:r>
      <w:hyperlink r:id="rId4" w:history="1">
        <w:r w:rsidRPr="004B2EC0">
          <w:rPr>
            <w:rStyle w:val="Kpr"/>
            <w:rFonts w:ascii="Times New Roman" w:hAnsi="Times New Roman" w:cs="Times New Roman"/>
          </w:rPr>
          <w:t>https://eeas.europa.eu/sites/default/files/joint_communication_-_connecting_europe_and_asia_-_building_blocks_for_an_eu_strategy_2018-09-19.pdf</w:t>
        </w:r>
      </w:hyperlink>
      <w:r w:rsidRPr="004B2EC0">
        <w:rPr>
          <w:rFonts w:ascii="Times New Roman" w:hAnsi="Times New Roman" w:cs="Times New Roman"/>
        </w:rPr>
        <w:t>) and the future Joint Communication on an EU Global Connectivity Strategy (following the Council Conclusions “A Globally Connected Europe” adopted on 12 July 2021, a new Joint Communication on an EU Global Connectivity Strategy will be worked out by spring 2022 at the latest</w:t>
      </w:r>
    </w:p>
  </w:footnote>
  <w:footnote w:id="32">
    <w:p w14:paraId="123C1B34" w14:textId="77777777" w:rsidR="00A401E7" w:rsidRDefault="00A401E7" w:rsidP="005739B7">
      <w:pPr>
        <w:pStyle w:val="DipnotMetni"/>
      </w:pPr>
      <w:r>
        <w:rPr>
          <w:rStyle w:val="DipnotBavurusu"/>
        </w:rPr>
        <w:footnoteRef/>
      </w:r>
      <w:r>
        <w:t xml:space="preserve"> </w:t>
      </w:r>
      <w:r w:rsidRPr="00800C3F">
        <w:t>(2014/C 200/01)</w:t>
      </w:r>
    </w:p>
  </w:footnote>
  <w:footnote w:id="33">
    <w:p w14:paraId="0922A55F" w14:textId="74776DCD" w:rsidR="00A401E7" w:rsidRPr="00C44F01" w:rsidRDefault="00A401E7">
      <w:pPr>
        <w:pStyle w:val="DipnotMetni"/>
        <w:rPr>
          <w:rFonts w:ascii="Times New Roman" w:hAnsi="Times New Roman" w:cs="Times New Roman"/>
        </w:rPr>
      </w:pPr>
      <w:r w:rsidRPr="00C44F01">
        <w:rPr>
          <w:rStyle w:val="DipnotBavurusu"/>
          <w:rFonts w:ascii="Times New Roman" w:hAnsi="Times New Roman" w:cs="Times New Roman"/>
        </w:rPr>
        <w:footnoteRef/>
      </w:r>
      <w:r w:rsidRPr="00C44F01">
        <w:rPr>
          <w:rFonts w:ascii="Times New Roman" w:hAnsi="Times New Roman" w:cs="Times New Roman"/>
        </w:rPr>
        <w:t xml:space="preserve"> https://ec.europa.eu/education/sites/default/files/document-library-docs/deap-communication-sept2020_en.pdf</w:t>
      </w:r>
    </w:p>
  </w:footnote>
  <w:footnote w:id="34">
    <w:p w14:paraId="3CFCDF08" w14:textId="0506CF04" w:rsidR="00A401E7" w:rsidRDefault="00A401E7">
      <w:pPr>
        <w:pStyle w:val="DipnotMetni"/>
      </w:pPr>
      <w:r w:rsidRPr="00C44F01">
        <w:rPr>
          <w:rStyle w:val="DipnotBavurusu"/>
          <w:rFonts w:ascii="Times New Roman" w:hAnsi="Times New Roman" w:cs="Times New Roman"/>
        </w:rPr>
        <w:footnoteRef/>
      </w:r>
      <w:r w:rsidRPr="00C44F01">
        <w:rPr>
          <w:rFonts w:ascii="Times New Roman" w:hAnsi="Times New Roman" w:cs="Times New Roman"/>
        </w:rPr>
        <w:t xml:space="preserve"> https://ec.europa.eu/energy/sites/ener/files/hydrogen_strategy.pdf</w:t>
      </w:r>
    </w:p>
  </w:footnote>
  <w:footnote w:id="35">
    <w:p w14:paraId="48D00973" w14:textId="7F806685" w:rsidR="00A401E7" w:rsidRPr="00FE1162" w:rsidRDefault="00A401E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These are impact and context indicators. Their variation may not be solely and directly attributed to IPA support.</w:t>
      </w:r>
    </w:p>
  </w:footnote>
  <w:footnote w:id="36">
    <w:p w14:paraId="26EC4A39" w14:textId="77777777" w:rsidR="00A401E7" w:rsidRPr="00C44F01" w:rsidRDefault="00A401E7" w:rsidP="005739B7">
      <w:pPr>
        <w:pStyle w:val="DipnotMetni"/>
        <w:rPr>
          <w:rFonts w:ascii="Times New Roman" w:hAnsi="Times New Roman" w:cs="Times New Roman"/>
        </w:rPr>
      </w:pPr>
      <w:r w:rsidRPr="00C44F01">
        <w:rPr>
          <w:rStyle w:val="DipnotBavurusu"/>
          <w:rFonts w:ascii="Times New Roman" w:hAnsi="Times New Roman" w:cs="Times New Roman"/>
        </w:rPr>
        <w:footnoteRef/>
      </w:r>
      <w:r w:rsidRPr="00C44F01">
        <w:rPr>
          <w:rFonts w:ascii="Times New Roman" w:hAnsi="Times New Roman" w:cs="Times New Roman"/>
        </w:rPr>
        <w:t xml:space="preserve"> No data available in the report on Kosovo, therefore Kosovo is excluded from this average.</w:t>
      </w:r>
    </w:p>
  </w:footnote>
  <w:footnote w:id="37">
    <w:p w14:paraId="51E82640" w14:textId="77777777" w:rsidR="00A401E7" w:rsidRPr="00EF3779" w:rsidRDefault="00A401E7" w:rsidP="005739B7">
      <w:pPr>
        <w:pStyle w:val="DipnotMetni"/>
        <w:rPr>
          <w:rFonts w:ascii="Times New Roman" w:hAnsi="Times New Roman" w:cs="Times New Roman"/>
        </w:rPr>
      </w:pPr>
      <w:r w:rsidRPr="00EF3779">
        <w:rPr>
          <w:rStyle w:val="DipnotBavurusu"/>
          <w:rFonts w:ascii="Times New Roman" w:hAnsi="Times New Roman" w:cs="Times New Roman"/>
        </w:rPr>
        <w:footnoteRef/>
      </w:r>
      <w:r w:rsidRPr="00EF3779">
        <w:rPr>
          <w:rFonts w:ascii="Times New Roman" w:hAnsi="Times New Roman" w:cs="Times New Roman"/>
        </w:rPr>
        <w:t xml:space="preserve"> No data available for Albania, therefore Albania is excluded from the average. </w:t>
      </w:r>
    </w:p>
  </w:footnote>
  <w:footnote w:id="38">
    <w:p w14:paraId="613554ED" w14:textId="7B302BD9" w:rsidR="00A401E7" w:rsidRDefault="00A401E7">
      <w:pPr>
        <w:pStyle w:val="DipnotMetni"/>
      </w:pPr>
      <w:r>
        <w:rPr>
          <w:rStyle w:val="DipnotBavurusu"/>
        </w:rPr>
        <w:footnoteRef/>
      </w:r>
      <w:r>
        <w:t xml:space="preserve"> </w:t>
      </w:r>
      <w:r w:rsidRPr="00FF1B60">
        <w:rPr>
          <w:rFonts w:ascii="Times New Roman" w:hAnsi="Times New Roman" w:cs="Times New Roman"/>
        </w:rPr>
        <w:t>No data available for Albania, therefore Albania is excluded from the average.</w:t>
      </w:r>
    </w:p>
  </w:footnote>
  <w:footnote w:id="39">
    <w:p w14:paraId="5CA1B7FF" w14:textId="7A06A464" w:rsidR="00A401E7" w:rsidRPr="00EF3779" w:rsidRDefault="00A401E7">
      <w:pPr>
        <w:pStyle w:val="DipnotMetni"/>
        <w:rPr>
          <w:rFonts w:ascii="Times New Roman" w:hAnsi="Times New Roman" w:cs="Times New Roman"/>
          <w:lang w:val="en-IE"/>
        </w:rPr>
      </w:pPr>
      <w:r w:rsidRPr="00EF3779">
        <w:rPr>
          <w:rStyle w:val="DipnotBavurusu"/>
          <w:rFonts w:ascii="Times New Roman" w:hAnsi="Times New Roman" w:cs="Times New Roman"/>
        </w:rPr>
        <w:footnoteRef/>
      </w:r>
      <w:r w:rsidRPr="00EF3779">
        <w:rPr>
          <w:rFonts w:ascii="Times New Roman" w:hAnsi="Times New Roman" w:cs="Times New Roman"/>
        </w:rPr>
        <w:t xml:space="preserve"> https://wb-ministerial.tw.events/en/balkans-agenda</w:t>
      </w:r>
    </w:p>
  </w:footnote>
  <w:footnote w:id="40">
    <w:p w14:paraId="52105245" w14:textId="77777777" w:rsidR="00A401E7" w:rsidRPr="00CD66A5" w:rsidRDefault="00A401E7" w:rsidP="005739B7">
      <w:pPr>
        <w:pStyle w:val="DipnotMetni"/>
        <w:rPr>
          <w:rFonts w:ascii="Times New Roman" w:hAnsi="Times New Roman" w:cs="Times New Roman"/>
        </w:rPr>
      </w:pPr>
      <w:r w:rsidRPr="00CD66A5">
        <w:rPr>
          <w:rStyle w:val="DipnotBavurusu"/>
          <w:rFonts w:ascii="Times New Roman" w:hAnsi="Times New Roman" w:cs="Times New Roman"/>
        </w:rPr>
        <w:footnoteRef/>
      </w:r>
      <w:r w:rsidRPr="00CD66A5">
        <w:rPr>
          <w:rFonts w:ascii="Times New Roman" w:hAnsi="Times New Roman" w:cs="Times New Roman"/>
        </w:rPr>
        <w:t xml:space="preserve"> 2017/C 428/09</w:t>
      </w:r>
    </w:p>
  </w:footnote>
  <w:footnote w:id="41">
    <w:p w14:paraId="4BD66728" w14:textId="07F26C7D" w:rsidR="00A401E7" w:rsidRPr="00CD66A5" w:rsidRDefault="00A401E7">
      <w:pPr>
        <w:pStyle w:val="DipnotMetni"/>
        <w:rPr>
          <w:rFonts w:ascii="Times New Roman" w:hAnsi="Times New Roman"/>
        </w:rPr>
      </w:pPr>
      <w:r w:rsidRPr="00CD66A5">
        <w:rPr>
          <w:rStyle w:val="DipnotBavurusu"/>
          <w:rFonts w:ascii="Times New Roman" w:hAnsi="Times New Roman"/>
        </w:rPr>
        <w:footnoteRef/>
      </w:r>
      <w:r w:rsidRPr="00CD66A5">
        <w:rPr>
          <w:rFonts w:ascii="Times New Roman" w:hAnsi="Times New Roman"/>
        </w:rPr>
        <w:t xml:space="preserve"> These are impact and context indicators. Their variation may not be solely and directly attributed to IPA support.</w:t>
      </w:r>
    </w:p>
  </w:footnote>
  <w:footnote w:id="42">
    <w:p w14:paraId="573105EB" w14:textId="77777777" w:rsidR="00A401E7" w:rsidRPr="00CD66A5" w:rsidRDefault="00A401E7" w:rsidP="005739B7">
      <w:pPr>
        <w:pStyle w:val="DipnotMetni"/>
        <w:rPr>
          <w:rFonts w:ascii="Times New Roman" w:hAnsi="Times New Roman" w:cs="Times New Roman"/>
        </w:rPr>
      </w:pPr>
      <w:r w:rsidRPr="00CD66A5">
        <w:rPr>
          <w:rStyle w:val="DipnotBavurusu"/>
          <w:rFonts w:ascii="Times New Roman" w:hAnsi="Times New Roman" w:cs="Times New Roman"/>
        </w:rPr>
        <w:footnoteRef/>
      </w:r>
      <w:r w:rsidRPr="00CD66A5">
        <w:rPr>
          <w:rFonts w:ascii="Times New Roman" w:hAnsi="Times New Roman" w:cs="Times New Roman"/>
        </w:rPr>
        <w:t xml:space="preserve"> Data available only for Bosnia and Herzegovina, Montenegro North Macedonia, Serbia and Turkey.</w:t>
      </w:r>
    </w:p>
  </w:footnote>
  <w:footnote w:id="43">
    <w:p w14:paraId="02DEE633" w14:textId="5BBD9CAB" w:rsidR="00A401E7" w:rsidRPr="003751E0" w:rsidRDefault="00A401E7">
      <w:pPr>
        <w:pStyle w:val="DipnotMetni"/>
      </w:pPr>
      <w:r>
        <w:rPr>
          <w:rStyle w:val="DipnotBavurusu"/>
        </w:rPr>
        <w:footnoteRef/>
      </w:r>
      <w:r w:rsidRPr="00A824E6">
        <w:rPr>
          <w:rFonts w:ascii="Times New Roman" w:hAnsi="Times New Roman" w:cs="Times New Roman"/>
        </w:rPr>
        <w:t xml:space="preserve"> </w:t>
      </w:r>
      <w:r w:rsidRPr="00EF3779">
        <w:rPr>
          <w:rFonts w:ascii="Times New Roman" w:eastAsia="Times New Roman" w:hAnsi="Times New Roman" w:cs="Times New Roman"/>
          <w:lang w:eastAsia="fr-FR"/>
        </w:rPr>
        <w:t>[</w:t>
      </w:r>
      <w:r w:rsidRPr="003809D8">
        <w:rPr>
          <w:rFonts w:ascii="Times New Roman" w:eastAsia="Times New Roman" w:hAnsi="Times New Roman" w:cs="Times New Roman"/>
          <w:lang w:eastAsia="fr-FR"/>
        </w:rPr>
        <w:t>Regulation (EU) 2021/1059 of the European Parliament and of the Council of 24 June 2021 on specific provisions for the European territorial cooperation goal (Interreg) supported by the European Regional Development Fund and external financing instruments</w:t>
      </w:r>
      <w:r w:rsidRPr="00EF3779">
        <w:rPr>
          <w:rFonts w:ascii="Times New Roman" w:eastAsia="Times New Roman" w:hAnsi="Times New Roman" w:cs="Times New Roman"/>
          <w:lang w:eastAsia="fr-FR"/>
        </w:rPr>
        <w:t>]</w:t>
      </w:r>
    </w:p>
  </w:footnote>
  <w:footnote w:id="44">
    <w:p w14:paraId="7FE770B4" w14:textId="77777777" w:rsidR="00A401E7" w:rsidRDefault="00A401E7" w:rsidP="006A550A">
      <w:pPr>
        <w:pStyle w:val="DipnotMetni"/>
      </w:pPr>
      <w:r>
        <w:rPr>
          <w:rStyle w:val="DipnotBavurusu"/>
        </w:rPr>
        <w:footnoteRef/>
      </w:r>
      <w:r>
        <w:t xml:space="preserve"> Cumulative up to March 2021</w:t>
      </w:r>
    </w:p>
  </w:footnote>
  <w:footnote w:id="45">
    <w:p w14:paraId="59598C79" w14:textId="77777777" w:rsidR="00A401E7" w:rsidRDefault="00A401E7" w:rsidP="006A550A">
      <w:pPr>
        <w:pStyle w:val="DipnotMetni"/>
      </w:pPr>
      <w:r>
        <w:rPr>
          <w:rStyle w:val="DipnotBavurusu"/>
        </w:rPr>
        <w:footnoteRef/>
      </w:r>
      <w:r>
        <w:t xml:space="preserve"> Cumulative up to March 2021</w:t>
      </w:r>
    </w:p>
  </w:footnote>
  <w:footnote w:id="46">
    <w:p w14:paraId="3AC4A3E2" w14:textId="77777777" w:rsidR="00A401E7" w:rsidRDefault="00A401E7" w:rsidP="006A550A">
      <w:pPr>
        <w:pStyle w:val="DipnotMetni"/>
      </w:pPr>
      <w:r>
        <w:rPr>
          <w:rStyle w:val="DipnotBavurusu"/>
        </w:rPr>
        <w:footnoteRef/>
      </w:r>
      <w:r>
        <w:t xml:space="preserve"> Cumulative up to March 2021</w:t>
      </w:r>
    </w:p>
  </w:footnote>
  <w:footnote w:id="47">
    <w:p w14:paraId="6FDF5D34" w14:textId="4F9EE98A" w:rsidR="00A401E7" w:rsidRPr="00FE1162" w:rsidRDefault="00A401E7">
      <w:pPr>
        <w:pStyle w:val="DipnotMetni"/>
        <w:rPr>
          <w:rFonts w:ascii="Times New Roman" w:hAnsi="Times New Roman" w:cs="Times New Roman"/>
        </w:rPr>
      </w:pPr>
      <w:r w:rsidRPr="00FE1162">
        <w:rPr>
          <w:rStyle w:val="DipnotBavurusu"/>
          <w:rFonts w:ascii="Times New Roman" w:hAnsi="Times New Roman" w:cs="Times New Roman"/>
        </w:rPr>
        <w:footnoteRef/>
      </w:r>
      <w:r w:rsidRPr="00FE1162">
        <w:rPr>
          <w:rFonts w:ascii="Times New Roman" w:hAnsi="Times New Roman" w:cs="Times New Roman"/>
        </w:rPr>
        <w:t xml:space="preserve"> This is a context indicator. Its variation may not be solely and directly attributed to IPA support.</w:t>
      </w:r>
    </w:p>
  </w:footnote>
  <w:footnote w:id="48">
    <w:p w14:paraId="03AC8523" w14:textId="77777777" w:rsidR="00A401E7" w:rsidRDefault="00A401E7" w:rsidP="006A550A">
      <w:pPr>
        <w:pStyle w:val="DipnotMetni"/>
      </w:pPr>
      <w:r>
        <w:rPr>
          <w:rStyle w:val="DipnotBavurusu"/>
        </w:rPr>
        <w:footnoteRef/>
      </w:r>
      <w:r>
        <w:t xml:space="preserve"> Cumulative up to March 2021</w:t>
      </w:r>
    </w:p>
  </w:footnote>
  <w:footnote w:id="49">
    <w:p w14:paraId="258DAEE2" w14:textId="77777777" w:rsidR="00A401E7" w:rsidRDefault="00A401E7" w:rsidP="006A550A">
      <w:pPr>
        <w:pStyle w:val="DipnotMetni"/>
      </w:pPr>
      <w:r>
        <w:rPr>
          <w:rStyle w:val="DipnotBavurusu"/>
        </w:rPr>
        <w:footnoteRef/>
      </w:r>
      <w:r>
        <w:t xml:space="preserve"> Cumulative up to March 2021</w:t>
      </w:r>
    </w:p>
  </w:footnote>
  <w:footnote w:id="50">
    <w:p w14:paraId="020DA2F6" w14:textId="3D833BEB" w:rsidR="00A401E7" w:rsidRPr="00FE1162" w:rsidRDefault="00A401E7" w:rsidP="005739B7">
      <w:pPr>
        <w:pStyle w:val="DipnotMetni"/>
      </w:pPr>
      <w:r w:rsidRPr="00FE1162">
        <w:rPr>
          <w:rStyle w:val="DipnotBavurusu"/>
        </w:rPr>
        <w:footnoteRef/>
      </w:r>
      <w:r w:rsidRPr="00FE1162">
        <w:t xml:space="preserve"> </w:t>
      </w:r>
      <w:r w:rsidRPr="00FE1162">
        <w:rPr>
          <w:rFonts w:ascii="Times New Roman" w:hAnsi="Times New Roman" w:cs="Times New Roman"/>
          <w:sz w:val="18"/>
          <w:szCs w:val="24"/>
        </w:rPr>
        <w:t>Up to 3% of the IPA III financial envelope shall be indicatively allocated to cross-border cooperation programmes between the IPA III beneficiaries and the Member States. In addition, the allocation under Window 5 will also cover IPA-IPA Cross-Border Cooperation and other Interreg-IPA cooperation strands.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B92"/>
    <w:multiLevelType w:val="hybridMultilevel"/>
    <w:tmpl w:val="A364A6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466611E"/>
    <w:multiLevelType w:val="hybridMultilevel"/>
    <w:tmpl w:val="FFD8C930"/>
    <w:lvl w:ilvl="0" w:tplc="B90A294C">
      <w:start w:val="1"/>
      <w:numFmt w:val="bullet"/>
      <w:lvlText w:val=""/>
      <w:lvlJc w:val="left"/>
      <w:pPr>
        <w:ind w:left="720" w:hanging="360"/>
      </w:pPr>
      <w:rPr>
        <w:rFonts w:ascii="Symbol" w:hAnsi="Symbol" w:hint="default"/>
      </w:rPr>
    </w:lvl>
    <w:lvl w:ilvl="1" w:tplc="A5C86014">
      <w:start w:val="1"/>
      <w:numFmt w:val="bullet"/>
      <w:lvlText w:val="o"/>
      <w:lvlJc w:val="left"/>
      <w:pPr>
        <w:ind w:left="1440" w:hanging="360"/>
      </w:pPr>
      <w:rPr>
        <w:rFonts w:ascii="Courier New" w:hAnsi="Courier New" w:hint="default"/>
      </w:rPr>
    </w:lvl>
    <w:lvl w:ilvl="2" w:tplc="38EAB78E">
      <w:start w:val="1"/>
      <w:numFmt w:val="bullet"/>
      <w:lvlText w:val=""/>
      <w:lvlJc w:val="left"/>
      <w:pPr>
        <w:ind w:left="2160" w:hanging="360"/>
      </w:pPr>
      <w:rPr>
        <w:rFonts w:ascii="Wingdings" w:hAnsi="Wingdings" w:hint="default"/>
      </w:rPr>
    </w:lvl>
    <w:lvl w:ilvl="3" w:tplc="6E621178">
      <w:start w:val="1"/>
      <w:numFmt w:val="bullet"/>
      <w:lvlText w:val=""/>
      <w:lvlJc w:val="left"/>
      <w:pPr>
        <w:ind w:left="2880" w:hanging="360"/>
      </w:pPr>
      <w:rPr>
        <w:rFonts w:ascii="Symbol" w:hAnsi="Symbol" w:hint="default"/>
      </w:rPr>
    </w:lvl>
    <w:lvl w:ilvl="4" w:tplc="9AD44060">
      <w:start w:val="1"/>
      <w:numFmt w:val="bullet"/>
      <w:lvlText w:val="o"/>
      <w:lvlJc w:val="left"/>
      <w:pPr>
        <w:ind w:left="3600" w:hanging="360"/>
      </w:pPr>
      <w:rPr>
        <w:rFonts w:ascii="Courier New" w:hAnsi="Courier New" w:hint="default"/>
      </w:rPr>
    </w:lvl>
    <w:lvl w:ilvl="5" w:tplc="25FEF686">
      <w:start w:val="1"/>
      <w:numFmt w:val="bullet"/>
      <w:lvlText w:val=""/>
      <w:lvlJc w:val="left"/>
      <w:pPr>
        <w:ind w:left="4320" w:hanging="360"/>
      </w:pPr>
      <w:rPr>
        <w:rFonts w:ascii="Wingdings" w:hAnsi="Wingdings" w:hint="default"/>
      </w:rPr>
    </w:lvl>
    <w:lvl w:ilvl="6" w:tplc="0ED8E1EE">
      <w:start w:val="1"/>
      <w:numFmt w:val="bullet"/>
      <w:lvlText w:val=""/>
      <w:lvlJc w:val="left"/>
      <w:pPr>
        <w:ind w:left="5040" w:hanging="360"/>
      </w:pPr>
      <w:rPr>
        <w:rFonts w:ascii="Symbol" w:hAnsi="Symbol" w:hint="default"/>
      </w:rPr>
    </w:lvl>
    <w:lvl w:ilvl="7" w:tplc="2120251E">
      <w:start w:val="1"/>
      <w:numFmt w:val="bullet"/>
      <w:lvlText w:val="o"/>
      <w:lvlJc w:val="left"/>
      <w:pPr>
        <w:ind w:left="5760" w:hanging="360"/>
      </w:pPr>
      <w:rPr>
        <w:rFonts w:ascii="Courier New" w:hAnsi="Courier New" w:hint="default"/>
      </w:rPr>
    </w:lvl>
    <w:lvl w:ilvl="8" w:tplc="68364266">
      <w:start w:val="1"/>
      <w:numFmt w:val="bullet"/>
      <w:lvlText w:val=""/>
      <w:lvlJc w:val="left"/>
      <w:pPr>
        <w:ind w:left="6480" w:hanging="360"/>
      </w:pPr>
      <w:rPr>
        <w:rFonts w:ascii="Wingdings" w:hAnsi="Wingdings" w:hint="default"/>
      </w:rPr>
    </w:lvl>
  </w:abstractNum>
  <w:abstractNum w:abstractNumId="2">
    <w:nsid w:val="06F920B1"/>
    <w:multiLevelType w:val="hybridMultilevel"/>
    <w:tmpl w:val="95E29F9E"/>
    <w:lvl w:ilvl="0" w:tplc="1BD87238">
      <w:start w:val="1"/>
      <w:numFmt w:val="decimal"/>
      <w:lvlText w:val="%1."/>
      <w:lvlJc w:val="left"/>
      <w:pPr>
        <w:ind w:left="720" w:hanging="360"/>
      </w:pPr>
      <w:rPr>
        <w:rFonts w:ascii="Times New Roman" w:hAnsi="Times New Roman" w:cs="Times New Roman"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413564"/>
    <w:multiLevelType w:val="hybridMultilevel"/>
    <w:tmpl w:val="F5BC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E13B09"/>
    <w:multiLevelType w:val="hybridMultilevel"/>
    <w:tmpl w:val="0FE4DC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A58055F"/>
    <w:multiLevelType w:val="hybridMultilevel"/>
    <w:tmpl w:val="CE089AAC"/>
    <w:lvl w:ilvl="0" w:tplc="232EEF16">
      <w:start w:val="1"/>
      <w:numFmt w:val="bullet"/>
      <w:lvlText w:val=""/>
      <w:lvlJc w:val="left"/>
      <w:pPr>
        <w:ind w:left="720" w:hanging="360"/>
      </w:pPr>
      <w:rPr>
        <w:rFonts w:ascii="Symbol" w:hAnsi="Symbol" w:hint="default"/>
      </w:rPr>
    </w:lvl>
    <w:lvl w:ilvl="1" w:tplc="D56E6CEC">
      <w:start w:val="1"/>
      <w:numFmt w:val="bullet"/>
      <w:lvlText w:val="o"/>
      <w:lvlJc w:val="left"/>
      <w:pPr>
        <w:ind w:left="1440" w:hanging="360"/>
      </w:pPr>
      <w:rPr>
        <w:rFonts w:ascii="Courier New" w:hAnsi="Courier New" w:hint="default"/>
      </w:rPr>
    </w:lvl>
    <w:lvl w:ilvl="2" w:tplc="1FB85258">
      <w:start w:val="1"/>
      <w:numFmt w:val="bullet"/>
      <w:lvlText w:val=""/>
      <w:lvlJc w:val="left"/>
      <w:pPr>
        <w:ind w:left="2160" w:hanging="360"/>
      </w:pPr>
      <w:rPr>
        <w:rFonts w:ascii="Wingdings" w:hAnsi="Wingdings" w:hint="default"/>
      </w:rPr>
    </w:lvl>
    <w:lvl w:ilvl="3" w:tplc="71702E34">
      <w:start w:val="1"/>
      <w:numFmt w:val="bullet"/>
      <w:lvlText w:val=""/>
      <w:lvlJc w:val="left"/>
      <w:pPr>
        <w:ind w:left="2880" w:hanging="360"/>
      </w:pPr>
      <w:rPr>
        <w:rFonts w:ascii="Symbol" w:hAnsi="Symbol" w:hint="default"/>
      </w:rPr>
    </w:lvl>
    <w:lvl w:ilvl="4" w:tplc="CED66FB4">
      <w:start w:val="1"/>
      <w:numFmt w:val="bullet"/>
      <w:lvlText w:val="o"/>
      <w:lvlJc w:val="left"/>
      <w:pPr>
        <w:ind w:left="3600" w:hanging="360"/>
      </w:pPr>
      <w:rPr>
        <w:rFonts w:ascii="Courier New" w:hAnsi="Courier New" w:hint="default"/>
      </w:rPr>
    </w:lvl>
    <w:lvl w:ilvl="5" w:tplc="B504F03C">
      <w:start w:val="1"/>
      <w:numFmt w:val="bullet"/>
      <w:lvlText w:val=""/>
      <w:lvlJc w:val="left"/>
      <w:pPr>
        <w:ind w:left="4320" w:hanging="360"/>
      </w:pPr>
      <w:rPr>
        <w:rFonts w:ascii="Wingdings" w:hAnsi="Wingdings" w:hint="default"/>
      </w:rPr>
    </w:lvl>
    <w:lvl w:ilvl="6" w:tplc="EFCC1DB6">
      <w:start w:val="1"/>
      <w:numFmt w:val="bullet"/>
      <w:lvlText w:val=""/>
      <w:lvlJc w:val="left"/>
      <w:pPr>
        <w:ind w:left="5040" w:hanging="360"/>
      </w:pPr>
      <w:rPr>
        <w:rFonts w:ascii="Symbol" w:hAnsi="Symbol" w:hint="default"/>
      </w:rPr>
    </w:lvl>
    <w:lvl w:ilvl="7" w:tplc="24427248">
      <w:start w:val="1"/>
      <w:numFmt w:val="bullet"/>
      <w:lvlText w:val="o"/>
      <w:lvlJc w:val="left"/>
      <w:pPr>
        <w:ind w:left="5760" w:hanging="360"/>
      </w:pPr>
      <w:rPr>
        <w:rFonts w:ascii="Courier New" w:hAnsi="Courier New" w:hint="default"/>
      </w:rPr>
    </w:lvl>
    <w:lvl w:ilvl="8" w:tplc="C63EF34C">
      <w:start w:val="1"/>
      <w:numFmt w:val="bullet"/>
      <w:lvlText w:val=""/>
      <w:lvlJc w:val="left"/>
      <w:pPr>
        <w:ind w:left="6480" w:hanging="360"/>
      </w:pPr>
      <w:rPr>
        <w:rFonts w:ascii="Wingdings" w:hAnsi="Wingdings" w:hint="default"/>
      </w:rPr>
    </w:lvl>
  </w:abstractNum>
  <w:abstractNum w:abstractNumId="6">
    <w:nsid w:val="0C5A0F4B"/>
    <w:multiLevelType w:val="hybridMultilevel"/>
    <w:tmpl w:val="561A9B8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0ECE3553"/>
    <w:multiLevelType w:val="hybridMultilevel"/>
    <w:tmpl w:val="0DB67896"/>
    <w:lvl w:ilvl="0" w:tplc="05B2D64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8">
    <w:nsid w:val="0F58632A"/>
    <w:multiLevelType w:val="hybridMultilevel"/>
    <w:tmpl w:val="FF2CF0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097A2D"/>
    <w:multiLevelType w:val="multilevel"/>
    <w:tmpl w:val="ACACE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4CC7AD8"/>
    <w:multiLevelType w:val="hybridMultilevel"/>
    <w:tmpl w:val="0FE4DC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6241ABD"/>
    <w:multiLevelType w:val="hybridMultilevel"/>
    <w:tmpl w:val="A364A6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1AEC7DEF"/>
    <w:multiLevelType w:val="hybridMultilevel"/>
    <w:tmpl w:val="97EEF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B164933"/>
    <w:multiLevelType w:val="hybridMultilevel"/>
    <w:tmpl w:val="7B000B2E"/>
    <w:lvl w:ilvl="0" w:tplc="84A2C1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D2C64"/>
    <w:multiLevelType w:val="hybridMultilevel"/>
    <w:tmpl w:val="A288CFAA"/>
    <w:lvl w:ilvl="0" w:tplc="2B20B22C">
      <w:start w:val="1"/>
      <w:numFmt w:val="decimal"/>
      <w:lvlText w:val="%1."/>
      <w:lvlJc w:val="left"/>
      <w:pPr>
        <w:ind w:left="720" w:hanging="360"/>
      </w:pPr>
      <w:rPr>
        <w:b w:val="0"/>
        <w:u w:val="non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8016696"/>
    <w:multiLevelType w:val="hybridMultilevel"/>
    <w:tmpl w:val="E0E676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926640"/>
    <w:multiLevelType w:val="hybridMultilevel"/>
    <w:tmpl w:val="E29897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2B62178F"/>
    <w:multiLevelType w:val="hybridMultilevel"/>
    <w:tmpl w:val="2AA42E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D753AE"/>
    <w:multiLevelType w:val="hybridMultilevel"/>
    <w:tmpl w:val="928806B0"/>
    <w:lvl w:ilvl="0" w:tplc="FFFFFFFF">
      <w:start w:val="1"/>
      <w:numFmt w:val="bullet"/>
      <w:lvlText w:val=""/>
      <w:lvlJc w:val="left"/>
      <w:pPr>
        <w:ind w:left="720" w:hanging="360"/>
      </w:pPr>
      <w:rPr>
        <w:rFonts w:ascii="Symbol" w:hAnsi="Symbol" w:hint="default"/>
      </w:rPr>
    </w:lvl>
    <w:lvl w:ilvl="1" w:tplc="27D0A954">
      <w:start w:val="1"/>
      <w:numFmt w:val="bullet"/>
      <w:lvlText w:val="o"/>
      <w:lvlJc w:val="left"/>
      <w:pPr>
        <w:ind w:left="1440" w:hanging="360"/>
      </w:pPr>
      <w:rPr>
        <w:rFonts w:ascii="Courier New" w:hAnsi="Courier New" w:hint="default"/>
      </w:rPr>
    </w:lvl>
    <w:lvl w:ilvl="2" w:tplc="8F1831B0">
      <w:start w:val="1"/>
      <w:numFmt w:val="bullet"/>
      <w:lvlText w:val=""/>
      <w:lvlJc w:val="left"/>
      <w:pPr>
        <w:ind w:left="2160" w:hanging="360"/>
      </w:pPr>
      <w:rPr>
        <w:rFonts w:ascii="Wingdings" w:hAnsi="Wingdings" w:hint="default"/>
      </w:rPr>
    </w:lvl>
    <w:lvl w:ilvl="3" w:tplc="7B002BD2">
      <w:start w:val="1"/>
      <w:numFmt w:val="bullet"/>
      <w:lvlText w:val=""/>
      <w:lvlJc w:val="left"/>
      <w:pPr>
        <w:ind w:left="2880" w:hanging="360"/>
      </w:pPr>
      <w:rPr>
        <w:rFonts w:ascii="Symbol" w:hAnsi="Symbol" w:hint="default"/>
      </w:rPr>
    </w:lvl>
    <w:lvl w:ilvl="4" w:tplc="91FE654A">
      <w:start w:val="1"/>
      <w:numFmt w:val="bullet"/>
      <w:lvlText w:val="o"/>
      <w:lvlJc w:val="left"/>
      <w:pPr>
        <w:ind w:left="3600" w:hanging="360"/>
      </w:pPr>
      <w:rPr>
        <w:rFonts w:ascii="Courier New" w:hAnsi="Courier New" w:hint="default"/>
      </w:rPr>
    </w:lvl>
    <w:lvl w:ilvl="5" w:tplc="646E283E">
      <w:start w:val="1"/>
      <w:numFmt w:val="bullet"/>
      <w:lvlText w:val=""/>
      <w:lvlJc w:val="left"/>
      <w:pPr>
        <w:ind w:left="4320" w:hanging="360"/>
      </w:pPr>
      <w:rPr>
        <w:rFonts w:ascii="Wingdings" w:hAnsi="Wingdings" w:hint="default"/>
      </w:rPr>
    </w:lvl>
    <w:lvl w:ilvl="6" w:tplc="4B2AE798">
      <w:start w:val="1"/>
      <w:numFmt w:val="bullet"/>
      <w:lvlText w:val=""/>
      <w:lvlJc w:val="left"/>
      <w:pPr>
        <w:ind w:left="5040" w:hanging="360"/>
      </w:pPr>
      <w:rPr>
        <w:rFonts w:ascii="Symbol" w:hAnsi="Symbol" w:hint="default"/>
      </w:rPr>
    </w:lvl>
    <w:lvl w:ilvl="7" w:tplc="42B229F6">
      <w:start w:val="1"/>
      <w:numFmt w:val="bullet"/>
      <w:lvlText w:val="o"/>
      <w:lvlJc w:val="left"/>
      <w:pPr>
        <w:ind w:left="5760" w:hanging="360"/>
      </w:pPr>
      <w:rPr>
        <w:rFonts w:ascii="Courier New" w:hAnsi="Courier New" w:hint="default"/>
      </w:rPr>
    </w:lvl>
    <w:lvl w:ilvl="8" w:tplc="49FE28E8">
      <w:start w:val="1"/>
      <w:numFmt w:val="bullet"/>
      <w:lvlText w:val=""/>
      <w:lvlJc w:val="left"/>
      <w:pPr>
        <w:ind w:left="6480" w:hanging="360"/>
      </w:pPr>
      <w:rPr>
        <w:rFonts w:ascii="Wingdings" w:hAnsi="Wingdings" w:hint="default"/>
      </w:rPr>
    </w:lvl>
  </w:abstractNum>
  <w:abstractNum w:abstractNumId="19">
    <w:nsid w:val="3181508F"/>
    <w:multiLevelType w:val="hybridMultilevel"/>
    <w:tmpl w:val="5A224592"/>
    <w:lvl w:ilvl="0" w:tplc="789A4F26">
      <w:start w:val="1"/>
      <w:numFmt w:val="bullet"/>
      <w:pStyle w:val="bullettext"/>
      <w:lvlText w:val=""/>
      <w:lvlJc w:val="left"/>
      <w:pPr>
        <w:ind w:left="720" w:hanging="360"/>
      </w:pPr>
      <w:rPr>
        <w:rFonts w:ascii="Symbol" w:hAnsi="Symbol" w:hint="default"/>
        <w:b/>
        <w:i w:val="0"/>
        <w:color w:val="325BAA"/>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3F85F0A"/>
    <w:multiLevelType w:val="hybridMultilevel"/>
    <w:tmpl w:val="931E5F16"/>
    <w:lvl w:ilvl="0" w:tplc="3CA87194">
      <w:start w:val="1"/>
      <w:numFmt w:val="bullet"/>
      <w:lvlText w:val=""/>
      <w:lvlJc w:val="left"/>
      <w:pPr>
        <w:ind w:left="720" w:hanging="360"/>
      </w:pPr>
      <w:rPr>
        <w:rFonts w:ascii="Symbol" w:hAnsi="Symbol" w:hint="default"/>
      </w:rPr>
    </w:lvl>
    <w:lvl w:ilvl="1" w:tplc="9E140548">
      <w:start w:val="1"/>
      <w:numFmt w:val="bullet"/>
      <w:lvlText w:val="o"/>
      <w:lvlJc w:val="left"/>
      <w:pPr>
        <w:ind w:left="1440" w:hanging="360"/>
      </w:pPr>
      <w:rPr>
        <w:rFonts w:ascii="Courier New" w:hAnsi="Courier New" w:hint="default"/>
      </w:rPr>
    </w:lvl>
    <w:lvl w:ilvl="2" w:tplc="EF94BC22">
      <w:start w:val="1"/>
      <w:numFmt w:val="bullet"/>
      <w:lvlText w:val=""/>
      <w:lvlJc w:val="left"/>
      <w:pPr>
        <w:ind w:left="2160" w:hanging="360"/>
      </w:pPr>
      <w:rPr>
        <w:rFonts w:ascii="Wingdings" w:hAnsi="Wingdings" w:hint="default"/>
      </w:rPr>
    </w:lvl>
    <w:lvl w:ilvl="3" w:tplc="FC6C5898">
      <w:start w:val="1"/>
      <w:numFmt w:val="bullet"/>
      <w:lvlText w:val=""/>
      <w:lvlJc w:val="left"/>
      <w:pPr>
        <w:ind w:left="2880" w:hanging="360"/>
      </w:pPr>
      <w:rPr>
        <w:rFonts w:ascii="Symbol" w:hAnsi="Symbol" w:hint="default"/>
      </w:rPr>
    </w:lvl>
    <w:lvl w:ilvl="4" w:tplc="335CC8B4">
      <w:start w:val="1"/>
      <w:numFmt w:val="bullet"/>
      <w:lvlText w:val="o"/>
      <w:lvlJc w:val="left"/>
      <w:pPr>
        <w:ind w:left="3600" w:hanging="360"/>
      </w:pPr>
      <w:rPr>
        <w:rFonts w:ascii="Courier New" w:hAnsi="Courier New" w:hint="default"/>
      </w:rPr>
    </w:lvl>
    <w:lvl w:ilvl="5" w:tplc="23D87AAA">
      <w:start w:val="1"/>
      <w:numFmt w:val="bullet"/>
      <w:lvlText w:val=""/>
      <w:lvlJc w:val="left"/>
      <w:pPr>
        <w:ind w:left="4320" w:hanging="360"/>
      </w:pPr>
      <w:rPr>
        <w:rFonts w:ascii="Wingdings" w:hAnsi="Wingdings" w:hint="default"/>
      </w:rPr>
    </w:lvl>
    <w:lvl w:ilvl="6" w:tplc="5A2CB5E4">
      <w:start w:val="1"/>
      <w:numFmt w:val="bullet"/>
      <w:lvlText w:val=""/>
      <w:lvlJc w:val="left"/>
      <w:pPr>
        <w:ind w:left="5040" w:hanging="360"/>
      </w:pPr>
      <w:rPr>
        <w:rFonts w:ascii="Symbol" w:hAnsi="Symbol" w:hint="default"/>
      </w:rPr>
    </w:lvl>
    <w:lvl w:ilvl="7" w:tplc="81EEEF4E">
      <w:start w:val="1"/>
      <w:numFmt w:val="bullet"/>
      <w:lvlText w:val="o"/>
      <w:lvlJc w:val="left"/>
      <w:pPr>
        <w:ind w:left="5760" w:hanging="360"/>
      </w:pPr>
      <w:rPr>
        <w:rFonts w:ascii="Courier New" w:hAnsi="Courier New" w:hint="default"/>
      </w:rPr>
    </w:lvl>
    <w:lvl w:ilvl="8" w:tplc="3CE0E94E">
      <w:start w:val="1"/>
      <w:numFmt w:val="bullet"/>
      <w:lvlText w:val=""/>
      <w:lvlJc w:val="left"/>
      <w:pPr>
        <w:ind w:left="6480" w:hanging="360"/>
      </w:pPr>
      <w:rPr>
        <w:rFonts w:ascii="Wingdings" w:hAnsi="Wingdings" w:hint="default"/>
      </w:rPr>
    </w:lvl>
  </w:abstractNum>
  <w:abstractNum w:abstractNumId="21">
    <w:nsid w:val="36BA4D75"/>
    <w:multiLevelType w:val="hybridMultilevel"/>
    <w:tmpl w:val="FF60932C"/>
    <w:lvl w:ilvl="0" w:tplc="FE4A2626">
      <w:start w:val="1"/>
      <w:numFmt w:val="decimal"/>
      <w:pStyle w:val="Title1"/>
      <w:lvlText w:val="%1."/>
      <w:lvlJc w:val="left"/>
      <w:pPr>
        <w:ind w:left="720" w:hanging="360"/>
      </w:pPr>
      <w:rPr>
        <w:rFonts w:ascii="EC Square Sans Pro" w:hAnsi="EC Square Sans Pro" w:hint="default"/>
        <w:b w:val="0"/>
        <w:i w:val="0"/>
        <w:color w:val="325BAA"/>
        <w:sz w:val="32"/>
        <w:szCs w:val="32"/>
      </w:rPr>
    </w:lvl>
    <w:lvl w:ilvl="1" w:tplc="9F089FB2">
      <w:start w:val="1"/>
      <w:numFmt w:val="lowerLetter"/>
      <w:pStyle w:val="Titl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73A75ED"/>
    <w:multiLevelType w:val="hybridMultilevel"/>
    <w:tmpl w:val="561A9B8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C0125BC"/>
    <w:multiLevelType w:val="hybridMultilevel"/>
    <w:tmpl w:val="9FC23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42F440CB"/>
    <w:multiLevelType w:val="multilevel"/>
    <w:tmpl w:val="DF8A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C30106"/>
    <w:multiLevelType w:val="hybridMultilevel"/>
    <w:tmpl w:val="EE42031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78E5331"/>
    <w:multiLevelType w:val="hybridMultilevel"/>
    <w:tmpl w:val="19948E5A"/>
    <w:lvl w:ilvl="0" w:tplc="84A2C1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9405B75"/>
    <w:multiLevelType w:val="hybridMultilevel"/>
    <w:tmpl w:val="0FE4DC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4A8B052F"/>
    <w:multiLevelType w:val="hybridMultilevel"/>
    <w:tmpl w:val="B6D80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CC84946"/>
    <w:multiLevelType w:val="hybridMultilevel"/>
    <w:tmpl w:val="A70CFD64"/>
    <w:lvl w:ilvl="0" w:tplc="A51814D0">
      <w:start w:val="1"/>
      <w:numFmt w:val="bullet"/>
      <w:lvlText w:val=""/>
      <w:lvlJc w:val="left"/>
      <w:pPr>
        <w:ind w:left="720" w:hanging="360"/>
      </w:pPr>
      <w:rPr>
        <w:rFonts w:ascii="Symbol" w:hAnsi="Symbol" w:hint="default"/>
      </w:rPr>
    </w:lvl>
    <w:lvl w:ilvl="1" w:tplc="E3FCC5A2">
      <w:start w:val="1"/>
      <w:numFmt w:val="bullet"/>
      <w:lvlText w:val="o"/>
      <w:lvlJc w:val="left"/>
      <w:pPr>
        <w:ind w:left="1440" w:hanging="360"/>
      </w:pPr>
      <w:rPr>
        <w:rFonts w:ascii="Courier New" w:hAnsi="Courier New" w:hint="default"/>
      </w:rPr>
    </w:lvl>
    <w:lvl w:ilvl="2" w:tplc="5F60748A">
      <w:start w:val="1"/>
      <w:numFmt w:val="bullet"/>
      <w:lvlText w:val=""/>
      <w:lvlJc w:val="left"/>
      <w:pPr>
        <w:ind w:left="2160" w:hanging="360"/>
      </w:pPr>
      <w:rPr>
        <w:rFonts w:ascii="Wingdings" w:hAnsi="Wingdings" w:hint="default"/>
      </w:rPr>
    </w:lvl>
    <w:lvl w:ilvl="3" w:tplc="323A43D2">
      <w:start w:val="1"/>
      <w:numFmt w:val="bullet"/>
      <w:lvlText w:val=""/>
      <w:lvlJc w:val="left"/>
      <w:pPr>
        <w:ind w:left="2880" w:hanging="360"/>
      </w:pPr>
      <w:rPr>
        <w:rFonts w:ascii="Symbol" w:hAnsi="Symbol" w:hint="default"/>
      </w:rPr>
    </w:lvl>
    <w:lvl w:ilvl="4" w:tplc="652EEEBE">
      <w:start w:val="1"/>
      <w:numFmt w:val="bullet"/>
      <w:lvlText w:val="o"/>
      <w:lvlJc w:val="left"/>
      <w:pPr>
        <w:ind w:left="3600" w:hanging="360"/>
      </w:pPr>
      <w:rPr>
        <w:rFonts w:ascii="Courier New" w:hAnsi="Courier New" w:hint="default"/>
      </w:rPr>
    </w:lvl>
    <w:lvl w:ilvl="5" w:tplc="7D3AA316">
      <w:start w:val="1"/>
      <w:numFmt w:val="bullet"/>
      <w:lvlText w:val=""/>
      <w:lvlJc w:val="left"/>
      <w:pPr>
        <w:ind w:left="4320" w:hanging="360"/>
      </w:pPr>
      <w:rPr>
        <w:rFonts w:ascii="Wingdings" w:hAnsi="Wingdings" w:hint="default"/>
      </w:rPr>
    </w:lvl>
    <w:lvl w:ilvl="6" w:tplc="150E1AD4">
      <w:start w:val="1"/>
      <w:numFmt w:val="bullet"/>
      <w:lvlText w:val=""/>
      <w:lvlJc w:val="left"/>
      <w:pPr>
        <w:ind w:left="5040" w:hanging="360"/>
      </w:pPr>
      <w:rPr>
        <w:rFonts w:ascii="Symbol" w:hAnsi="Symbol" w:hint="default"/>
      </w:rPr>
    </w:lvl>
    <w:lvl w:ilvl="7" w:tplc="9A343570">
      <w:start w:val="1"/>
      <w:numFmt w:val="bullet"/>
      <w:lvlText w:val="o"/>
      <w:lvlJc w:val="left"/>
      <w:pPr>
        <w:ind w:left="5760" w:hanging="360"/>
      </w:pPr>
      <w:rPr>
        <w:rFonts w:ascii="Courier New" w:hAnsi="Courier New" w:hint="default"/>
      </w:rPr>
    </w:lvl>
    <w:lvl w:ilvl="8" w:tplc="7B2CD820">
      <w:start w:val="1"/>
      <w:numFmt w:val="bullet"/>
      <w:lvlText w:val=""/>
      <w:lvlJc w:val="left"/>
      <w:pPr>
        <w:ind w:left="6480" w:hanging="360"/>
      </w:pPr>
      <w:rPr>
        <w:rFonts w:ascii="Wingdings" w:hAnsi="Wingdings" w:hint="default"/>
      </w:rPr>
    </w:lvl>
  </w:abstractNum>
  <w:abstractNum w:abstractNumId="30">
    <w:nsid w:val="4E171F82"/>
    <w:multiLevelType w:val="hybridMultilevel"/>
    <w:tmpl w:val="E994828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47C60F0"/>
    <w:multiLevelType w:val="hybridMultilevel"/>
    <w:tmpl w:val="55E81D6E"/>
    <w:lvl w:ilvl="0" w:tplc="080C0001">
      <w:start w:val="1"/>
      <w:numFmt w:val="bullet"/>
      <w:lvlText w:val=""/>
      <w:lvlJc w:val="left"/>
      <w:pPr>
        <w:ind w:left="1037" w:hanging="360"/>
        <w:jc w:val="both"/>
      </w:pPr>
      <w:rPr>
        <w:rFonts w:ascii="Symbol" w:hAnsi="Symbol" w:hint="default"/>
        <w:w w:val="100"/>
        <w:sz w:val="20"/>
        <w:szCs w:val="20"/>
        <w:shd w:val="clear" w:color="auto" w:fill="auto"/>
      </w:rPr>
    </w:lvl>
    <w:lvl w:ilvl="1" w:tplc="8FD8F3BC">
      <w:start w:val="1"/>
      <w:numFmt w:val="bullet"/>
      <w:lvlText w:val="o"/>
      <w:lvlJc w:val="left"/>
      <w:pPr>
        <w:ind w:left="1757" w:hanging="360"/>
        <w:jc w:val="both"/>
      </w:pPr>
      <w:rPr>
        <w:rFonts w:ascii="Courier New" w:eastAsia="Courier New" w:hAnsi="Courier New"/>
        <w:w w:val="100"/>
        <w:sz w:val="20"/>
        <w:szCs w:val="20"/>
        <w:shd w:val="clear" w:color="auto" w:fill="auto"/>
      </w:rPr>
    </w:lvl>
    <w:lvl w:ilvl="2" w:tplc="F90A975E">
      <w:start w:val="1"/>
      <w:numFmt w:val="bullet"/>
      <w:lvlText w:val="§"/>
      <w:lvlJc w:val="left"/>
      <w:pPr>
        <w:ind w:left="2477" w:hanging="360"/>
        <w:jc w:val="both"/>
      </w:pPr>
      <w:rPr>
        <w:rFonts w:ascii="Wingdings" w:eastAsia="Wingdings" w:hAnsi="Wingdings"/>
        <w:w w:val="100"/>
        <w:sz w:val="20"/>
        <w:szCs w:val="20"/>
        <w:shd w:val="clear" w:color="auto" w:fill="auto"/>
      </w:rPr>
    </w:lvl>
    <w:lvl w:ilvl="3" w:tplc="73D67C30">
      <w:start w:val="1"/>
      <w:numFmt w:val="bullet"/>
      <w:lvlText w:val="·"/>
      <w:lvlJc w:val="left"/>
      <w:pPr>
        <w:ind w:left="3197" w:hanging="360"/>
        <w:jc w:val="both"/>
      </w:pPr>
      <w:rPr>
        <w:rFonts w:ascii="Symbol" w:eastAsia="Symbol" w:hAnsi="Symbol"/>
        <w:w w:val="100"/>
        <w:sz w:val="20"/>
        <w:szCs w:val="20"/>
        <w:shd w:val="clear" w:color="auto" w:fill="auto"/>
      </w:rPr>
    </w:lvl>
    <w:lvl w:ilvl="4" w:tplc="D1344268">
      <w:start w:val="1"/>
      <w:numFmt w:val="bullet"/>
      <w:lvlText w:val="o"/>
      <w:lvlJc w:val="left"/>
      <w:pPr>
        <w:ind w:left="3917" w:hanging="360"/>
        <w:jc w:val="both"/>
      </w:pPr>
      <w:rPr>
        <w:rFonts w:ascii="Courier New" w:eastAsia="Courier New" w:hAnsi="Courier New"/>
        <w:w w:val="100"/>
        <w:sz w:val="20"/>
        <w:szCs w:val="20"/>
        <w:shd w:val="clear" w:color="auto" w:fill="auto"/>
      </w:rPr>
    </w:lvl>
    <w:lvl w:ilvl="5" w:tplc="ECB223E4">
      <w:start w:val="1"/>
      <w:numFmt w:val="bullet"/>
      <w:lvlText w:val="§"/>
      <w:lvlJc w:val="left"/>
      <w:pPr>
        <w:ind w:left="4637" w:hanging="360"/>
        <w:jc w:val="both"/>
      </w:pPr>
      <w:rPr>
        <w:rFonts w:ascii="Wingdings" w:eastAsia="Wingdings" w:hAnsi="Wingdings"/>
        <w:w w:val="100"/>
        <w:sz w:val="20"/>
        <w:szCs w:val="20"/>
        <w:shd w:val="clear" w:color="auto" w:fill="auto"/>
      </w:rPr>
    </w:lvl>
    <w:lvl w:ilvl="6" w:tplc="34925220">
      <w:start w:val="1"/>
      <w:numFmt w:val="bullet"/>
      <w:lvlText w:val="·"/>
      <w:lvlJc w:val="left"/>
      <w:pPr>
        <w:ind w:left="5357" w:hanging="360"/>
        <w:jc w:val="both"/>
      </w:pPr>
      <w:rPr>
        <w:rFonts w:ascii="Symbol" w:eastAsia="Symbol" w:hAnsi="Symbol"/>
        <w:w w:val="100"/>
        <w:sz w:val="20"/>
        <w:szCs w:val="20"/>
        <w:shd w:val="clear" w:color="auto" w:fill="auto"/>
      </w:rPr>
    </w:lvl>
    <w:lvl w:ilvl="7" w:tplc="2480C600">
      <w:start w:val="1"/>
      <w:numFmt w:val="bullet"/>
      <w:lvlText w:val="o"/>
      <w:lvlJc w:val="left"/>
      <w:pPr>
        <w:ind w:left="6077" w:hanging="360"/>
        <w:jc w:val="both"/>
      </w:pPr>
      <w:rPr>
        <w:rFonts w:ascii="Courier New" w:eastAsia="Courier New" w:hAnsi="Courier New"/>
        <w:w w:val="100"/>
        <w:sz w:val="20"/>
        <w:szCs w:val="20"/>
        <w:shd w:val="clear" w:color="auto" w:fill="auto"/>
      </w:rPr>
    </w:lvl>
    <w:lvl w:ilvl="8" w:tplc="7B525C2A">
      <w:start w:val="1"/>
      <w:numFmt w:val="bullet"/>
      <w:lvlText w:val="§"/>
      <w:lvlJc w:val="left"/>
      <w:pPr>
        <w:ind w:left="6797" w:hanging="360"/>
        <w:jc w:val="both"/>
      </w:pPr>
      <w:rPr>
        <w:rFonts w:ascii="Wingdings" w:eastAsia="Wingdings" w:hAnsi="Wingdings"/>
        <w:w w:val="100"/>
        <w:sz w:val="20"/>
        <w:szCs w:val="20"/>
        <w:shd w:val="clear" w:color="auto" w:fill="auto"/>
      </w:rPr>
    </w:lvl>
  </w:abstractNum>
  <w:abstractNum w:abstractNumId="32">
    <w:nsid w:val="592F2806"/>
    <w:multiLevelType w:val="hybridMultilevel"/>
    <w:tmpl w:val="A288CFAA"/>
    <w:lvl w:ilvl="0" w:tplc="2B20B22C">
      <w:start w:val="1"/>
      <w:numFmt w:val="decimal"/>
      <w:lvlText w:val="%1."/>
      <w:lvlJc w:val="left"/>
      <w:pPr>
        <w:ind w:left="720" w:hanging="360"/>
      </w:pPr>
      <w:rPr>
        <w:b w:val="0"/>
        <w:u w:val="non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CFF6923"/>
    <w:multiLevelType w:val="hybridMultilevel"/>
    <w:tmpl w:val="6DA23A06"/>
    <w:lvl w:ilvl="0" w:tplc="2B20B22C">
      <w:start w:val="1"/>
      <w:numFmt w:val="decimal"/>
      <w:lvlText w:val="%1."/>
      <w:lvlJc w:val="left"/>
      <w:pPr>
        <w:ind w:left="720" w:hanging="360"/>
      </w:pPr>
      <w:rPr>
        <w:b w:val="0"/>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5DDF00CF"/>
    <w:multiLevelType w:val="hybridMultilevel"/>
    <w:tmpl w:val="57B2CD98"/>
    <w:lvl w:ilvl="0" w:tplc="232EEF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733286"/>
    <w:multiLevelType w:val="hybridMultilevel"/>
    <w:tmpl w:val="0FE4DC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617E6FA5"/>
    <w:multiLevelType w:val="hybridMultilevel"/>
    <w:tmpl w:val="D0748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015139"/>
    <w:multiLevelType w:val="hybridMultilevel"/>
    <w:tmpl w:val="A364A64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69D31E48"/>
    <w:multiLevelType w:val="hybridMultilevel"/>
    <w:tmpl w:val="0FE4DC9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C47201D"/>
    <w:multiLevelType w:val="hybridMultilevel"/>
    <w:tmpl w:val="77DE11F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6ED1127B"/>
    <w:multiLevelType w:val="hybridMultilevel"/>
    <w:tmpl w:val="561A9B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6F49218B"/>
    <w:multiLevelType w:val="hybridMultilevel"/>
    <w:tmpl w:val="7FAEB1FE"/>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2">
    <w:nsid w:val="7291045C"/>
    <w:multiLevelType w:val="hybridMultilevel"/>
    <w:tmpl w:val="A98846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nsid w:val="76C95F90"/>
    <w:multiLevelType w:val="hybridMultilevel"/>
    <w:tmpl w:val="DEDC566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4">
    <w:nsid w:val="79A45D39"/>
    <w:multiLevelType w:val="hybridMultilevel"/>
    <w:tmpl w:val="A288CFAA"/>
    <w:lvl w:ilvl="0" w:tplc="2B20B22C">
      <w:start w:val="1"/>
      <w:numFmt w:val="decimal"/>
      <w:lvlText w:val="%1."/>
      <w:lvlJc w:val="left"/>
      <w:pPr>
        <w:ind w:left="720" w:hanging="360"/>
      </w:pPr>
      <w:rPr>
        <w:b w:val="0"/>
        <w:u w:val="non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5"/>
  </w:num>
  <w:num w:numId="3">
    <w:abstractNumId w:val="20"/>
  </w:num>
  <w:num w:numId="4">
    <w:abstractNumId w:val="18"/>
  </w:num>
  <w:num w:numId="5">
    <w:abstractNumId w:val="1"/>
  </w:num>
  <w:num w:numId="6">
    <w:abstractNumId w:val="34"/>
  </w:num>
  <w:num w:numId="7">
    <w:abstractNumId w:val="12"/>
  </w:num>
  <w:num w:numId="8">
    <w:abstractNumId w:val="29"/>
  </w:num>
  <w:num w:numId="9">
    <w:abstractNumId w:val="36"/>
  </w:num>
  <w:num w:numId="10">
    <w:abstractNumId w:val="8"/>
  </w:num>
  <w:num w:numId="11">
    <w:abstractNumId w:val="13"/>
  </w:num>
  <w:num w:numId="12">
    <w:abstractNumId w:val="28"/>
  </w:num>
  <w:num w:numId="13">
    <w:abstractNumId w:val="31"/>
  </w:num>
  <w:num w:numId="14">
    <w:abstractNumId w:val="17"/>
  </w:num>
  <w:num w:numId="15">
    <w:abstractNumId w:val="26"/>
  </w:num>
  <w:num w:numId="16">
    <w:abstractNumId w:val="41"/>
  </w:num>
  <w:num w:numId="17">
    <w:abstractNumId w:val="30"/>
  </w:num>
  <w:num w:numId="18">
    <w:abstractNumId w:val="21"/>
  </w:num>
  <w:num w:numId="19">
    <w:abstractNumId w:val="19"/>
  </w:num>
  <w:num w:numId="20">
    <w:abstractNumId w:val="23"/>
  </w:num>
  <w:num w:numId="21">
    <w:abstractNumId w:val="39"/>
  </w:num>
  <w:num w:numId="22">
    <w:abstractNumId w:val="3"/>
  </w:num>
  <w:num w:numId="23">
    <w:abstractNumId w:val="43"/>
  </w:num>
  <w:num w:numId="24">
    <w:abstractNumId w:val="40"/>
  </w:num>
  <w:num w:numId="25">
    <w:abstractNumId w:val="25"/>
  </w:num>
  <w:num w:numId="26">
    <w:abstractNumId w:val="10"/>
  </w:num>
  <w:num w:numId="27">
    <w:abstractNumId w:val="27"/>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8"/>
  </w:num>
  <w:num w:numId="33">
    <w:abstractNumId w:val="2"/>
  </w:num>
  <w:num w:numId="34">
    <w:abstractNumId w:val="4"/>
  </w:num>
  <w:num w:numId="35">
    <w:abstractNumId w:val="11"/>
  </w:num>
  <w:num w:numId="36">
    <w:abstractNumId w:val="0"/>
  </w:num>
  <w:num w:numId="37">
    <w:abstractNumId w:val="42"/>
  </w:num>
  <w:num w:numId="38">
    <w:abstractNumId w:val="37"/>
  </w:num>
  <w:num w:numId="39">
    <w:abstractNumId w:val="16"/>
  </w:num>
  <w:num w:numId="40">
    <w:abstractNumId w:val="32"/>
  </w:num>
  <w:num w:numId="41">
    <w:abstractNumId w:val="33"/>
  </w:num>
  <w:num w:numId="42">
    <w:abstractNumId w:val="44"/>
  </w:num>
  <w:num w:numId="43">
    <w:abstractNumId w:val="14"/>
  </w:num>
  <w:num w:numId="44">
    <w:abstractNumId w:val="22"/>
  </w:num>
  <w:num w:numId="45">
    <w:abstractNumId w:val="6"/>
  </w:num>
  <w:num w:numId="46">
    <w:abstractNumId w:val="24"/>
  </w:num>
  <w:num w:numId="47">
    <w:abstractNumId w:val="15"/>
  </w:num>
  <w:num w:numId="4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8436B"/>
    <w:rsid w:val="000001C7"/>
    <w:rsid w:val="000013CF"/>
    <w:rsid w:val="000035A8"/>
    <w:rsid w:val="000035BA"/>
    <w:rsid w:val="00004579"/>
    <w:rsid w:val="000050CA"/>
    <w:rsid w:val="00005E9F"/>
    <w:rsid w:val="0000741A"/>
    <w:rsid w:val="00007938"/>
    <w:rsid w:val="00011179"/>
    <w:rsid w:val="0001173F"/>
    <w:rsid w:val="00011CE8"/>
    <w:rsid w:val="00012CB7"/>
    <w:rsid w:val="000132D8"/>
    <w:rsid w:val="00013788"/>
    <w:rsid w:val="000138FB"/>
    <w:rsid w:val="00014915"/>
    <w:rsid w:val="000152F5"/>
    <w:rsid w:val="00015EB0"/>
    <w:rsid w:val="00016298"/>
    <w:rsid w:val="0001675C"/>
    <w:rsid w:val="000214C8"/>
    <w:rsid w:val="00021A82"/>
    <w:rsid w:val="00023F7C"/>
    <w:rsid w:val="00024911"/>
    <w:rsid w:val="000258D9"/>
    <w:rsid w:val="00026807"/>
    <w:rsid w:val="00026F27"/>
    <w:rsid w:val="0002733C"/>
    <w:rsid w:val="00027416"/>
    <w:rsid w:val="000314BB"/>
    <w:rsid w:val="00031533"/>
    <w:rsid w:val="00031E48"/>
    <w:rsid w:val="000323A2"/>
    <w:rsid w:val="00032FEB"/>
    <w:rsid w:val="000364C0"/>
    <w:rsid w:val="00036E03"/>
    <w:rsid w:val="00036F1A"/>
    <w:rsid w:val="00037B0D"/>
    <w:rsid w:val="00037B77"/>
    <w:rsid w:val="00040201"/>
    <w:rsid w:val="00040398"/>
    <w:rsid w:val="00041DEC"/>
    <w:rsid w:val="00041F10"/>
    <w:rsid w:val="0004222F"/>
    <w:rsid w:val="00042DE2"/>
    <w:rsid w:val="00043DE1"/>
    <w:rsid w:val="00043F8F"/>
    <w:rsid w:val="00044238"/>
    <w:rsid w:val="00044937"/>
    <w:rsid w:val="000464F5"/>
    <w:rsid w:val="00046B8F"/>
    <w:rsid w:val="00047EC4"/>
    <w:rsid w:val="000500BD"/>
    <w:rsid w:val="000505AA"/>
    <w:rsid w:val="000505C6"/>
    <w:rsid w:val="00050B22"/>
    <w:rsid w:val="000523A7"/>
    <w:rsid w:val="00052BCF"/>
    <w:rsid w:val="000547B6"/>
    <w:rsid w:val="00054B2F"/>
    <w:rsid w:val="00054D88"/>
    <w:rsid w:val="0005681D"/>
    <w:rsid w:val="00060B96"/>
    <w:rsid w:val="00063227"/>
    <w:rsid w:val="00064187"/>
    <w:rsid w:val="00073DB0"/>
    <w:rsid w:val="000744C6"/>
    <w:rsid w:val="00075989"/>
    <w:rsid w:val="0007652D"/>
    <w:rsid w:val="00076C82"/>
    <w:rsid w:val="00083D2F"/>
    <w:rsid w:val="00084FAC"/>
    <w:rsid w:val="000858EF"/>
    <w:rsid w:val="00086F56"/>
    <w:rsid w:val="00087361"/>
    <w:rsid w:val="000878A5"/>
    <w:rsid w:val="000903AB"/>
    <w:rsid w:val="00091122"/>
    <w:rsid w:val="00091B11"/>
    <w:rsid w:val="00092A40"/>
    <w:rsid w:val="00092BEC"/>
    <w:rsid w:val="00093923"/>
    <w:rsid w:val="00093A5B"/>
    <w:rsid w:val="00093FC9"/>
    <w:rsid w:val="000A27C2"/>
    <w:rsid w:val="000A360C"/>
    <w:rsid w:val="000A400B"/>
    <w:rsid w:val="000A43EE"/>
    <w:rsid w:val="000A517A"/>
    <w:rsid w:val="000A6753"/>
    <w:rsid w:val="000A6D39"/>
    <w:rsid w:val="000B1E82"/>
    <w:rsid w:val="000B24FF"/>
    <w:rsid w:val="000B2C57"/>
    <w:rsid w:val="000B546E"/>
    <w:rsid w:val="000B689E"/>
    <w:rsid w:val="000B7582"/>
    <w:rsid w:val="000B76AA"/>
    <w:rsid w:val="000C0C4F"/>
    <w:rsid w:val="000C3AE0"/>
    <w:rsid w:val="000C3CA2"/>
    <w:rsid w:val="000C3F13"/>
    <w:rsid w:val="000C435D"/>
    <w:rsid w:val="000C4FCF"/>
    <w:rsid w:val="000C64C7"/>
    <w:rsid w:val="000C6A79"/>
    <w:rsid w:val="000D0188"/>
    <w:rsid w:val="000D0972"/>
    <w:rsid w:val="000D1696"/>
    <w:rsid w:val="000D20C2"/>
    <w:rsid w:val="000D295B"/>
    <w:rsid w:val="000D3EE3"/>
    <w:rsid w:val="000D4FAD"/>
    <w:rsid w:val="000D5A8E"/>
    <w:rsid w:val="000D6073"/>
    <w:rsid w:val="000D6620"/>
    <w:rsid w:val="000E2277"/>
    <w:rsid w:val="000E27EC"/>
    <w:rsid w:val="000E3175"/>
    <w:rsid w:val="000E3196"/>
    <w:rsid w:val="000E3A78"/>
    <w:rsid w:val="000E6F15"/>
    <w:rsid w:val="000E7AD9"/>
    <w:rsid w:val="000F0D60"/>
    <w:rsid w:val="000F1CF7"/>
    <w:rsid w:val="000F43D2"/>
    <w:rsid w:val="000F542E"/>
    <w:rsid w:val="000F63FF"/>
    <w:rsid w:val="000F6B53"/>
    <w:rsid w:val="000F7855"/>
    <w:rsid w:val="001002B6"/>
    <w:rsid w:val="00100A87"/>
    <w:rsid w:val="00104E52"/>
    <w:rsid w:val="001055A5"/>
    <w:rsid w:val="00105B3A"/>
    <w:rsid w:val="001065AB"/>
    <w:rsid w:val="00106FEF"/>
    <w:rsid w:val="001074B7"/>
    <w:rsid w:val="001078F5"/>
    <w:rsid w:val="00107972"/>
    <w:rsid w:val="00111138"/>
    <w:rsid w:val="001114D5"/>
    <w:rsid w:val="00113362"/>
    <w:rsid w:val="00114198"/>
    <w:rsid w:val="001152E5"/>
    <w:rsid w:val="00115CA2"/>
    <w:rsid w:val="00116163"/>
    <w:rsid w:val="00116C4A"/>
    <w:rsid w:val="0011721A"/>
    <w:rsid w:val="00120418"/>
    <w:rsid w:val="00122039"/>
    <w:rsid w:val="0012221D"/>
    <w:rsid w:val="00122EFB"/>
    <w:rsid w:val="001236B6"/>
    <w:rsid w:val="00123C95"/>
    <w:rsid w:val="00124EFF"/>
    <w:rsid w:val="00125461"/>
    <w:rsid w:val="0012641E"/>
    <w:rsid w:val="0012667F"/>
    <w:rsid w:val="001267E0"/>
    <w:rsid w:val="00126AB6"/>
    <w:rsid w:val="0012793C"/>
    <w:rsid w:val="00131EB6"/>
    <w:rsid w:val="0013371A"/>
    <w:rsid w:val="00133ECB"/>
    <w:rsid w:val="00135423"/>
    <w:rsid w:val="00135B55"/>
    <w:rsid w:val="001379F4"/>
    <w:rsid w:val="0014029B"/>
    <w:rsid w:val="00140538"/>
    <w:rsid w:val="0014360D"/>
    <w:rsid w:val="00144FCB"/>
    <w:rsid w:val="001469B0"/>
    <w:rsid w:val="001470CD"/>
    <w:rsid w:val="001471AD"/>
    <w:rsid w:val="001475C2"/>
    <w:rsid w:val="00147A46"/>
    <w:rsid w:val="00147BFB"/>
    <w:rsid w:val="0015038B"/>
    <w:rsid w:val="00150586"/>
    <w:rsid w:val="0015094B"/>
    <w:rsid w:val="001516A3"/>
    <w:rsid w:val="0015346A"/>
    <w:rsid w:val="00155BB5"/>
    <w:rsid w:val="001578A3"/>
    <w:rsid w:val="00157F8C"/>
    <w:rsid w:val="00160523"/>
    <w:rsid w:val="00161026"/>
    <w:rsid w:val="00161717"/>
    <w:rsid w:val="0016229F"/>
    <w:rsid w:val="001625BF"/>
    <w:rsid w:val="00162BAE"/>
    <w:rsid w:val="00165350"/>
    <w:rsid w:val="00166569"/>
    <w:rsid w:val="001669C5"/>
    <w:rsid w:val="001676EE"/>
    <w:rsid w:val="00170CBB"/>
    <w:rsid w:val="00171859"/>
    <w:rsid w:val="001727B9"/>
    <w:rsid w:val="00172C7E"/>
    <w:rsid w:val="00172F15"/>
    <w:rsid w:val="00173A5B"/>
    <w:rsid w:val="00175B12"/>
    <w:rsid w:val="00176ABE"/>
    <w:rsid w:val="001776E8"/>
    <w:rsid w:val="0018111F"/>
    <w:rsid w:val="0018158D"/>
    <w:rsid w:val="00181765"/>
    <w:rsid w:val="001818B6"/>
    <w:rsid w:val="00181F44"/>
    <w:rsid w:val="001823AC"/>
    <w:rsid w:val="0018351E"/>
    <w:rsid w:val="001852B3"/>
    <w:rsid w:val="001857B0"/>
    <w:rsid w:val="00190CAD"/>
    <w:rsid w:val="00190D2B"/>
    <w:rsid w:val="00193087"/>
    <w:rsid w:val="00193D7C"/>
    <w:rsid w:val="001950B1"/>
    <w:rsid w:val="001968E0"/>
    <w:rsid w:val="001A092A"/>
    <w:rsid w:val="001A1659"/>
    <w:rsid w:val="001A1EC6"/>
    <w:rsid w:val="001A209B"/>
    <w:rsid w:val="001A41E0"/>
    <w:rsid w:val="001A5388"/>
    <w:rsid w:val="001A56DA"/>
    <w:rsid w:val="001A6184"/>
    <w:rsid w:val="001B1947"/>
    <w:rsid w:val="001B236F"/>
    <w:rsid w:val="001B3DA2"/>
    <w:rsid w:val="001B4515"/>
    <w:rsid w:val="001B464A"/>
    <w:rsid w:val="001B5D67"/>
    <w:rsid w:val="001B61F4"/>
    <w:rsid w:val="001B66A3"/>
    <w:rsid w:val="001C1F91"/>
    <w:rsid w:val="001C2377"/>
    <w:rsid w:val="001C253D"/>
    <w:rsid w:val="001C290D"/>
    <w:rsid w:val="001C4532"/>
    <w:rsid w:val="001C60F9"/>
    <w:rsid w:val="001C6F99"/>
    <w:rsid w:val="001D0FA5"/>
    <w:rsid w:val="001D160A"/>
    <w:rsid w:val="001D1718"/>
    <w:rsid w:val="001D3194"/>
    <w:rsid w:val="001D3BD3"/>
    <w:rsid w:val="001D3EBC"/>
    <w:rsid w:val="001D6265"/>
    <w:rsid w:val="001D6D46"/>
    <w:rsid w:val="001D7FB3"/>
    <w:rsid w:val="001E0D0B"/>
    <w:rsid w:val="001E22CC"/>
    <w:rsid w:val="001E43F9"/>
    <w:rsid w:val="001E6460"/>
    <w:rsid w:val="001E74A0"/>
    <w:rsid w:val="001F21F8"/>
    <w:rsid w:val="001F2B59"/>
    <w:rsid w:val="001F43FB"/>
    <w:rsid w:val="001F4527"/>
    <w:rsid w:val="001F6C84"/>
    <w:rsid w:val="00200AE0"/>
    <w:rsid w:val="00200B48"/>
    <w:rsid w:val="002029CC"/>
    <w:rsid w:val="00202ECB"/>
    <w:rsid w:val="00203133"/>
    <w:rsid w:val="00203345"/>
    <w:rsid w:val="0020593C"/>
    <w:rsid w:val="002067BE"/>
    <w:rsid w:val="002078E2"/>
    <w:rsid w:val="0021295E"/>
    <w:rsid w:val="00212D51"/>
    <w:rsid w:val="00212DFF"/>
    <w:rsid w:val="002146EC"/>
    <w:rsid w:val="00214761"/>
    <w:rsid w:val="00214FC2"/>
    <w:rsid w:val="0021606A"/>
    <w:rsid w:val="00217DD7"/>
    <w:rsid w:val="00220D60"/>
    <w:rsid w:val="0022140C"/>
    <w:rsid w:val="00221C47"/>
    <w:rsid w:val="002230AF"/>
    <w:rsid w:val="00224FA1"/>
    <w:rsid w:val="0022501F"/>
    <w:rsid w:val="002252BF"/>
    <w:rsid w:val="00225F23"/>
    <w:rsid w:val="00225F7D"/>
    <w:rsid w:val="0022663A"/>
    <w:rsid w:val="002266FF"/>
    <w:rsid w:val="00227605"/>
    <w:rsid w:val="00231F34"/>
    <w:rsid w:val="00232571"/>
    <w:rsid w:val="002331A7"/>
    <w:rsid w:val="002341E1"/>
    <w:rsid w:val="002366FC"/>
    <w:rsid w:val="00237459"/>
    <w:rsid w:val="00237B48"/>
    <w:rsid w:val="00241064"/>
    <w:rsid w:val="00241DB0"/>
    <w:rsid w:val="00242019"/>
    <w:rsid w:val="00243F63"/>
    <w:rsid w:val="00245E91"/>
    <w:rsid w:val="002460BD"/>
    <w:rsid w:val="00247568"/>
    <w:rsid w:val="00252503"/>
    <w:rsid w:val="00252AB4"/>
    <w:rsid w:val="00253046"/>
    <w:rsid w:val="00253203"/>
    <w:rsid w:val="002540B0"/>
    <w:rsid w:val="002559F0"/>
    <w:rsid w:val="00256558"/>
    <w:rsid w:val="0025661F"/>
    <w:rsid w:val="002569D7"/>
    <w:rsid w:val="00256CCA"/>
    <w:rsid w:val="00257926"/>
    <w:rsid w:val="00262FCF"/>
    <w:rsid w:val="002632FF"/>
    <w:rsid w:val="00263352"/>
    <w:rsid w:val="00263D35"/>
    <w:rsid w:val="00264F54"/>
    <w:rsid w:val="002652EC"/>
    <w:rsid w:val="00265700"/>
    <w:rsid w:val="00265A7B"/>
    <w:rsid w:val="00265C01"/>
    <w:rsid w:val="00265E45"/>
    <w:rsid w:val="0027066B"/>
    <w:rsid w:val="00270B55"/>
    <w:rsid w:val="00271400"/>
    <w:rsid w:val="00272135"/>
    <w:rsid w:val="00273BBD"/>
    <w:rsid w:val="00275EEE"/>
    <w:rsid w:val="00276D6D"/>
    <w:rsid w:val="00277198"/>
    <w:rsid w:val="002773A9"/>
    <w:rsid w:val="00277A94"/>
    <w:rsid w:val="002802B7"/>
    <w:rsid w:val="0028055B"/>
    <w:rsid w:val="00281EA0"/>
    <w:rsid w:val="00284F47"/>
    <w:rsid w:val="0028536E"/>
    <w:rsid w:val="00291618"/>
    <w:rsid w:val="00291760"/>
    <w:rsid w:val="00292CCD"/>
    <w:rsid w:val="002934F7"/>
    <w:rsid w:val="0029393F"/>
    <w:rsid w:val="00293D45"/>
    <w:rsid w:val="00293E28"/>
    <w:rsid w:val="00294AA6"/>
    <w:rsid w:val="00294D77"/>
    <w:rsid w:val="002966BF"/>
    <w:rsid w:val="00296715"/>
    <w:rsid w:val="00296A2B"/>
    <w:rsid w:val="0029711C"/>
    <w:rsid w:val="00297F7E"/>
    <w:rsid w:val="002A08E3"/>
    <w:rsid w:val="002A494D"/>
    <w:rsid w:val="002A584E"/>
    <w:rsid w:val="002A5B1F"/>
    <w:rsid w:val="002A64B0"/>
    <w:rsid w:val="002A6A1A"/>
    <w:rsid w:val="002B0EF9"/>
    <w:rsid w:val="002B1F2B"/>
    <w:rsid w:val="002B20C0"/>
    <w:rsid w:val="002B46F7"/>
    <w:rsid w:val="002B5CFF"/>
    <w:rsid w:val="002B6084"/>
    <w:rsid w:val="002B6825"/>
    <w:rsid w:val="002B6E0C"/>
    <w:rsid w:val="002C09D5"/>
    <w:rsid w:val="002C276C"/>
    <w:rsid w:val="002C31B5"/>
    <w:rsid w:val="002C329C"/>
    <w:rsid w:val="002C575B"/>
    <w:rsid w:val="002C7852"/>
    <w:rsid w:val="002D010D"/>
    <w:rsid w:val="002D07DE"/>
    <w:rsid w:val="002D09C1"/>
    <w:rsid w:val="002D1353"/>
    <w:rsid w:val="002D19E3"/>
    <w:rsid w:val="002D24FA"/>
    <w:rsid w:val="002D255D"/>
    <w:rsid w:val="002D2F61"/>
    <w:rsid w:val="002D2FB0"/>
    <w:rsid w:val="002D31C2"/>
    <w:rsid w:val="002D4517"/>
    <w:rsid w:val="002E07E6"/>
    <w:rsid w:val="002E1518"/>
    <w:rsid w:val="002E234C"/>
    <w:rsid w:val="002E5082"/>
    <w:rsid w:val="002E57D1"/>
    <w:rsid w:val="002E67DE"/>
    <w:rsid w:val="002E6EBC"/>
    <w:rsid w:val="002E720D"/>
    <w:rsid w:val="002E7308"/>
    <w:rsid w:val="002E7BB7"/>
    <w:rsid w:val="002F0F9E"/>
    <w:rsid w:val="002F1BD5"/>
    <w:rsid w:val="002F3887"/>
    <w:rsid w:val="002F38BB"/>
    <w:rsid w:val="002F3A91"/>
    <w:rsid w:val="002F3D00"/>
    <w:rsid w:val="002F3E01"/>
    <w:rsid w:val="002F628C"/>
    <w:rsid w:val="002F6E32"/>
    <w:rsid w:val="00300D6D"/>
    <w:rsid w:val="003029F8"/>
    <w:rsid w:val="0030426D"/>
    <w:rsid w:val="00306E22"/>
    <w:rsid w:val="00310200"/>
    <w:rsid w:val="003110D8"/>
    <w:rsid w:val="00312A13"/>
    <w:rsid w:val="00312A8B"/>
    <w:rsid w:val="00314DE8"/>
    <w:rsid w:val="00315B37"/>
    <w:rsid w:val="00320E7A"/>
    <w:rsid w:val="003220A3"/>
    <w:rsid w:val="003227F7"/>
    <w:rsid w:val="00322AE9"/>
    <w:rsid w:val="00322D7F"/>
    <w:rsid w:val="00322E52"/>
    <w:rsid w:val="00323C9C"/>
    <w:rsid w:val="003240E8"/>
    <w:rsid w:val="00325F03"/>
    <w:rsid w:val="00326338"/>
    <w:rsid w:val="00327B6B"/>
    <w:rsid w:val="00332D28"/>
    <w:rsid w:val="00332FDD"/>
    <w:rsid w:val="00334C5E"/>
    <w:rsid w:val="0033538E"/>
    <w:rsid w:val="00336294"/>
    <w:rsid w:val="003365E4"/>
    <w:rsid w:val="003372BF"/>
    <w:rsid w:val="00343C50"/>
    <w:rsid w:val="00343D8F"/>
    <w:rsid w:val="00344017"/>
    <w:rsid w:val="00344D7B"/>
    <w:rsid w:val="0034551F"/>
    <w:rsid w:val="003462BB"/>
    <w:rsid w:val="0034630B"/>
    <w:rsid w:val="0034663C"/>
    <w:rsid w:val="00346859"/>
    <w:rsid w:val="00347E70"/>
    <w:rsid w:val="0035105D"/>
    <w:rsid w:val="00351486"/>
    <w:rsid w:val="0035213D"/>
    <w:rsid w:val="00352177"/>
    <w:rsid w:val="003537FD"/>
    <w:rsid w:val="00355C95"/>
    <w:rsid w:val="00356C7B"/>
    <w:rsid w:val="003579F4"/>
    <w:rsid w:val="003610F8"/>
    <w:rsid w:val="0036269C"/>
    <w:rsid w:val="00363222"/>
    <w:rsid w:val="003640CF"/>
    <w:rsid w:val="00364D70"/>
    <w:rsid w:val="00365532"/>
    <w:rsid w:val="0036776A"/>
    <w:rsid w:val="00370C6C"/>
    <w:rsid w:val="003723F8"/>
    <w:rsid w:val="003728D2"/>
    <w:rsid w:val="003734C2"/>
    <w:rsid w:val="00374C84"/>
    <w:rsid w:val="003751E0"/>
    <w:rsid w:val="00375675"/>
    <w:rsid w:val="00375767"/>
    <w:rsid w:val="00375FCB"/>
    <w:rsid w:val="00376506"/>
    <w:rsid w:val="00377808"/>
    <w:rsid w:val="003809D8"/>
    <w:rsid w:val="0038129F"/>
    <w:rsid w:val="00382B00"/>
    <w:rsid w:val="00382D93"/>
    <w:rsid w:val="00382DF6"/>
    <w:rsid w:val="00384769"/>
    <w:rsid w:val="00386304"/>
    <w:rsid w:val="003865C6"/>
    <w:rsid w:val="00386748"/>
    <w:rsid w:val="0038773A"/>
    <w:rsid w:val="00390763"/>
    <w:rsid w:val="003919B3"/>
    <w:rsid w:val="00391F82"/>
    <w:rsid w:val="0039204D"/>
    <w:rsid w:val="003926FD"/>
    <w:rsid w:val="00393629"/>
    <w:rsid w:val="00394F1D"/>
    <w:rsid w:val="00395D90"/>
    <w:rsid w:val="00396A2D"/>
    <w:rsid w:val="00396E97"/>
    <w:rsid w:val="003A0675"/>
    <w:rsid w:val="003A1766"/>
    <w:rsid w:val="003A17DD"/>
    <w:rsid w:val="003A1B09"/>
    <w:rsid w:val="003A30F6"/>
    <w:rsid w:val="003A4383"/>
    <w:rsid w:val="003A5214"/>
    <w:rsid w:val="003A5CA1"/>
    <w:rsid w:val="003A5DA2"/>
    <w:rsid w:val="003A650F"/>
    <w:rsid w:val="003A7085"/>
    <w:rsid w:val="003B173F"/>
    <w:rsid w:val="003B26D9"/>
    <w:rsid w:val="003B37A0"/>
    <w:rsid w:val="003B45C1"/>
    <w:rsid w:val="003B5203"/>
    <w:rsid w:val="003B6A35"/>
    <w:rsid w:val="003B7116"/>
    <w:rsid w:val="003B76BE"/>
    <w:rsid w:val="003C0A13"/>
    <w:rsid w:val="003C1DB8"/>
    <w:rsid w:val="003C2B1A"/>
    <w:rsid w:val="003C5771"/>
    <w:rsid w:val="003C5B03"/>
    <w:rsid w:val="003C6C8C"/>
    <w:rsid w:val="003C6DF9"/>
    <w:rsid w:val="003C723C"/>
    <w:rsid w:val="003D0C4B"/>
    <w:rsid w:val="003D14E4"/>
    <w:rsid w:val="003D2774"/>
    <w:rsid w:val="003D27BA"/>
    <w:rsid w:val="003D523D"/>
    <w:rsid w:val="003D5DAB"/>
    <w:rsid w:val="003D6ABF"/>
    <w:rsid w:val="003D7033"/>
    <w:rsid w:val="003E00A1"/>
    <w:rsid w:val="003E0AD2"/>
    <w:rsid w:val="003E1443"/>
    <w:rsid w:val="003E16BB"/>
    <w:rsid w:val="003E1791"/>
    <w:rsid w:val="003E3223"/>
    <w:rsid w:val="003E32BA"/>
    <w:rsid w:val="003E34BA"/>
    <w:rsid w:val="003E4CD8"/>
    <w:rsid w:val="003E5D98"/>
    <w:rsid w:val="003E6D90"/>
    <w:rsid w:val="003E7900"/>
    <w:rsid w:val="003E7AD5"/>
    <w:rsid w:val="003F2668"/>
    <w:rsid w:val="003F35A4"/>
    <w:rsid w:val="003F3A2E"/>
    <w:rsid w:val="003F3B13"/>
    <w:rsid w:val="003F4BED"/>
    <w:rsid w:val="003F60C1"/>
    <w:rsid w:val="003F60C3"/>
    <w:rsid w:val="003F6A53"/>
    <w:rsid w:val="003F722C"/>
    <w:rsid w:val="003F7528"/>
    <w:rsid w:val="003F761E"/>
    <w:rsid w:val="00400160"/>
    <w:rsid w:val="0040056B"/>
    <w:rsid w:val="0040085F"/>
    <w:rsid w:val="00400B7B"/>
    <w:rsid w:val="00401F1E"/>
    <w:rsid w:val="0040325F"/>
    <w:rsid w:val="00404C53"/>
    <w:rsid w:val="00404CD1"/>
    <w:rsid w:val="00407E75"/>
    <w:rsid w:val="00410A35"/>
    <w:rsid w:val="004120A5"/>
    <w:rsid w:val="004162B5"/>
    <w:rsid w:val="0042108A"/>
    <w:rsid w:val="00421204"/>
    <w:rsid w:val="00421F37"/>
    <w:rsid w:val="004221F0"/>
    <w:rsid w:val="004233AF"/>
    <w:rsid w:val="004253F7"/>
    <w:rsid w:val="00425C20"/>
    <w:rsid w:val="00426CC2"/>
    <w:rsid w:val="004314D5"/>
    <w:rsid w:val="00431875"/>
    <w:rsid w:val="00433170"/>
    <w:rsid w:val="004335F8"/>
    <w:rsid w:val="00434018"/>
    <w:rsid w:val="004341F9"/>
    <w:rsid w:val="0043587C"/>
    <w:rsid w:val="00435957"/>
    <w:rsid w:val="00435AF2"/>
    <w:rsid w:val="00435B6F"/>
    <w:rsid w:val="00435CEB"/>
    <w:rsid w:val="00435E6E"/>
    <w:rsid w:val="00436A07"/>
    <w:rsid w:val="00436B4B"/>
    <w:rsid w:val="00436C57"/>
    <w:rsid w:val="00437136"/>
    <w:rsid w:val="00437D60"/>
    <w:rsid w:val="00442077"/>
    <w:rsid w:val="004429DD"/>
    <w:rsid w:val="0044473A"/>
    <w:rsid w:val="00447AC9"/>
    <w:rsid w:val="00450731"/>
    <w:rsid w:val="004515B2"/>
    <w:rsid w:val="00451CED"/>
    <w:rsid w:val="004533DE"/>
    <w:rsid w:val="00453967"/>
    <w:rsid w:val="00453C02"/>
    <w:rsid w:val="0045537D"/>
    <w:rsid w:val="00455409"/>
    <w:rsid w:val="00455868"/>
    <w:rsid w:val="004572F0"/>
    <w:rsid w:val="0046001A"/>
    <w:rsid w:val="00460604"/>
    <w:rsid w:val="00460B75"/>
    <w:rsid w:val="004623BB"/>
    <w:rsid w:val="00462475"/>
    <w:rsid w:val="0046344B"/>
    <w:rsid w:val="00463924"/>
    <w:rsid w:val="00463B74"/>
    <w:rsid w:val="00464CDA"/>
    <w:rsid w:val="00465328"/>
    <w:rsid w:val="00465A21"/>
    <w:rsid w:val="00465C39"/>
    <w:rsid w:val="00466F2D"/>
    <w:rsid w:val="0047017F"/>
    <w:rsid w:val="004702DB"/>
    <w:rsid w:val="004704F4"/>
    <w:rsid w:val="004706A6"/>
    <w:rsid w:val="00470D69"/>
    <w:rsid w:val="0047108D"/>
    <w:rsid w:val="00471671"/>
    <w:rsid w:val="00471895"/>
    <w:rsid w:val="00472513"/>
    <w:rsid w:val="00472CA7"/>
    <w:rsid w:val="004731E2"/>
    <w:rsid w:val="004747C0"/>
    <w:rsid w:val="00475E76"/>
    <w:rsid w:val="004760FF"/>
    <w:rsid w:val="0047731F"/>
    <w:rsid w:val="004773BB"/>
    <w:rsid w:val="0048022B"/>
    <w:rsid w:val="0048057F"/>
    <w:rsid w:val="00481478"/>
    <w:rsid w:val="00484C63"/>
    <w:rsid w:val="00487302"/>
    <w:rsid w:val="00487921"/>
    <w:rsid w:val="00491338"/>
    <w:rsid w:val="0049149C"/>
    <w:rsid w:val="00491AC1"/>
    <w:rsid w:val="004922E1"/>
    <w:rsid w:val="00495E06"/>
    <w:rsid w:val="004969AB"/>
    <w:rsid w:val="00497A7A"/>
    <w:rsid w:val="00497F38"/>
    <w:rsid w:val="004A1A07"/>
    <w:rsid w:val="004A2A6B"/>
    <w:rsid w:val="004A303E"/>
    <w:rsid w:val="004A3FB5"/>
    <w:rsid w:val="004A4017"/>
    <w:rsid w:val="004A43F3"/>
    <w:rsid w:val="004B154E"/>
    <w:rsid w:val="004B200A"/>
    <w:rsid w:val="004B2CAB"/>
    <w:rsid w:val="004B2CDF"/>
    <w:rsid w:val="004B2EC0"/>
    <w:rsid w:val="004B3065"/>
    <w:rsid w:val="004B3B02"/>
    <w:rsid w:val="004B3B11"/>
    <w:rsid w:val="004B55AB"/>
    <w:rsid w:val="004B57DF"/>
    <w:rsid w:val="004B6596"/>
    <w:rsid w:val="004B6B3D"/>
    <w:rsid w:val="004C123D"/>
    <w:rsid w:val="004C32C7"/>
    <w:rsid w:val="004C456B"/>
    <w:rsid w:val="004C7273"/>
    <w:rsid w:val="004D0A0B"/>
    <w:rsid w:val="004D1620"/>
    <w:rsid w:val="004D330B"/>
    <w:rsid w:val="004D5E5E"/>
    <w:rsid w:val="004D6A42"/>
    <w:rsid w:val="004D6E4C"/>
    <w:rsid w:val="004E1EF1"/>
    <w:rsid w:val="004E27A2"/>
    <w:rsid w:val="004E59B6"/>
    <w:rsid w:val="004E63DD"/>
    <w:rsid w:val="004E7B0C"/>
    <w:rsid w:val="004E7EE2"/>
    <w:rsid w:val="004F0474"/>
    <w:rsid w:val="004F1DD7"/>
    <w:rsid w:val="004F287A"/>
    <w:rsid w:val="004F326D"/>
    <w:rsid w:val="004F5A7D"/>
    <w:rsid w:val="004F5FBD"/>
    <w:rsid w:val="004F7A0A"/>
    <w:rsid w:val="0050224D"/>
    <w:rsid w:val="00503F12"/>
    <w:rsid w:val="005042CD"/>
    <w:rsid w:val="00505E1A"/>
    <w:rsid w:val="0050603E"/>
    <w:rsid w:val="00507C1A"/>
    <w:rsid w:val="00507C5D"/>
    <w:rsid w:val="0051085D"/>
    <w:rsid w:val="00511A97"/>
    <w:rsid w:val="005120C2"/>
    <w:rsid w:val="00512CA4"/>
    <w:rsid w:val="00513988"/>
    <w:rsid w:val="00513BDC"/>
    <w:rsid w:val="00513F6C"/>
    <w:rsid w:val="00514471"/>
    <w:rsid w:val="00515AD4"/>
    <w:rsid w:val="00515B3A"/>
    <w:rsid w:val="0051611F"/>
    <w:rsid w:val="00516D2D"/>
    <w:rsid w:val="005171ED"/>
    <w:rsid w:val="005234CB"/>
    <w:rsid w:val="005248E1"/>
    <w:rsid w:val="00525295"/>
    <w:rsid w:val="0052740B"/>
    <w:rsid w:val="00530DDB"/>
    <w:rsid w:val="005327BD"/>
    <w:rsid w:val="005333A5"/>
    <w:rsid w:val="00533842"/>
    <w:rsid w:val="00533FE1"/>
    <w:rsid w:val="0053575C"/>
    <w:rsid w:val="00535FD5"/>
    <w:rsid w:val="0053633B"/>
    <w:rsid w:val="0053677D"/>
    <w:rsid w:val="00536896"/>
    <w:rsid w:val="00537B2D"/>
    <w:rsid w:val="00540AE6"/>
    <w:rsid w:val="00540F39"/>
    <w:rsid w:val="00542128"/>
    <w:rsid w:val="00547C93"/>
    <w:rsid w:val="00547F13"/>
    <w:rsid w:val="005522A4"/>
    <w:rsid w:val="0055307B"/>
    <w:rsid w:val="00553311"/>
    <w:rsid w:val="00554C0B"/>
    <w:rsid w:val="00555379"/>
    <w:rsid w:val="00555E2B"/>
    <w:rsid w:val="00556010"/>
    <w:rsid w:val="005575BD"/>
    <w:rsid w:val="0055799C"/>
    <w:rsid w:val="00560046"/>
    <w:rsid w:val="00560AEE"/>
    <w:rsid w:val="00560C80"/>
    <w:rsid w:val="00561A54"/>
    <w:rsid w:val="0056249C"/>
    <w:rsid w:val="00562741"/>
    <w:rsid w:val="00562795"/>
    <w:rsid w:val="005640D6"/>
    <w:rsid w:val="00564ACA"/>
    <w:rsid w:val="00564C95"/>
    <w:rsid w:val="00565D1B"/>
    <w:rsid w:val="00566628"/>
    <w:rsid w:val="00566C95"/>
    <w:rsid w:val="005704E3"/>
    <w:rsid w:val="00571A81"/>
    <w:rsid w:val="005721DE"/>
    <w:rsid w:val="00573695"/>
    <w:rsid w:val="005736A0"/>
    <w:rsid w:val="005739B7"/>
    <w:rsid w:val="00573C08"/>
    <w:rsid w:val="00573E06"/>
    <w:rsid w:val="00574020"/>
    <w:rsid w:val="005742F9"/>
    <w:rsid w:val="00575DFB"/>
    <w:rsid w:val="0057639D"/>
    <w:rsid w:val="0057659A"/>
    <w:rsid w:val="005767C3"/>
    <w:rsid w:val="00576A8E"/>
    <w:rsid w:val="00576EC9"/>
    <w:rsid w:val="0058125A"/>
    <w:rsid w:val="00581C34"/>
    <w:rsid w:val="0058225E"/>
    <w:rsid w:val="0058594A"/>
    <w:rsid w:val="00586FCC"/>
    <w:rsid w:val="005874D3"/>
    <w:rsid w:val="005904BC"/>
    <w:rsid w:val="00591834"/>
    <w:rsid w:val="00591ECB"/>
    <w:rsid w:val="00592CA2"/>
    <w:rsid w:val="00593890"/>
    <w:rsid w:val="00593EE7"/>
    <w:rsid w:val="00594C7F"/>
    <w:rsid w:val="00595147"/>
    <w:rsid w:val="005A1719"/>
    <w:rsid w:val="005A1EA6"/>
    <w:rsid w:val="005A2497"/>
    <w:rsid w:val="005A43FB"/>
    <w:rsid w:val="005A495B"/>
    <w:rsid w:val="005A4B70"/>
    <w:rsid w:val="005A54AC"/>
    <w:rsid w:val="005A7F50"/>
    <w:rsid w:val="005B29E6"/>
    <w:rsid w:val="005B2D41"/>
    <w:rsid w:val="005B2F79"/>
    <w:rsid w:val="005B3E18"/>
    <w:rsid w:val="005B55E9"/>
    <w:rsid w:val="005B70DE"/>
    <w:rsid w:val="005B791B"/>
    <w:rsid w:val="005B7D31"/>
    <w:rsid w:val="005C00AE"/>
    <w:rsid w:val="005C081B"/>
    <w:rsid w:val="005C1C4E"/>
    <w:rsid w:val="005C47DE"/>
    <w:rsid w:val="005C5393"/>
    <w:rsid w:val="005C5A10"/>
    <w:rsid w:val="005D01F2"/>
    <w:rsid w:val="005D0527"/>
    <w:rsid w:val="005D3490"/>
    <w:rsid w:val="005D3549"/>
    <w:rsid w:val="005D4031"/>
    <w:rsid w:val="005D44ED"/>
    <w:rsid w:val="005D4770"/>
    <w:rsid w:val="005D5E1F"/>
    <w:rsid w:val="005D7E3B"/>
    <w:rsid w:val="005E13B0"/>
    <w:rsid w:val="005E1C9E"/>
    <w:rsid w:val="005E1FBE"/>
    <w:rsid w:val="005E2364"/>
    <w:rsid w:val="005E3A98"/>
    <w:rsid w:val="005E4B68"/>
    <w:rsid w:val="005E4C70"/>
    <w:rsid w:val="005E50E2"/>
    <w:rsid w:val="005E63E6"/>
    <w:rsid w:val="005E63EE"/>
    <w:rsid w:val="005F01EB"/>
    <w:rsid w:val="005F0813"/>
    <w:rsid w:val="005F10DB"/>
    <w:rsid w:val="005F12F6"/>
    <w:rsid w:val="005F14F6"/>
    <w:rsid w:val="005F2227"/>
    <w:rsid w:val="005F3FEE"/>
    <w:rsid w:val="005F5748"/>
    <w:rsid w:val="005F7764"/>
    <w:rsid w:val="00600658"/>
    <w:rsid w:val="00602406"/>
    <w:rsid w:val="0060243E"/>
    <w:rsid w:val="00603E94"/>
    <w:rsid w:val="0060426F"/>
    <w:rsid w:val="00605CF2"/>
    <w:rsid w:val="00605D54"/>
    <w:rsid w:val="006070EB"/>
    <w:rsid w:val="00607211"/>
    <w:rsid w:val="00607F07"/>
    <w:rsid w:val="006100F0"/>
    <w:rsid w:val="0061090C"/>
    <w:rsid w:val="00611AAE"/>
    <w:rsid w:val="006129CC"/>
    <w:rsid w:val="006129FB"/>
    <w:rsid w:val="00612ED8"/>
    <w:rsid w:val="00613DB7"/>
    <w:rsid w:val="00614122"/>
    <w:rsid w:val="00615356"/>
    <w:rsid w:val="00617840"/>
    <w:rsid w:val="00617B36"/>
    <w:rsid w:val="00620645"/>
    <w:rsid w:val="00621FD5"/>
    <w:rsid w:val="00622322"/>
    <w:rsid w:val="00623957"/>
    <w:rsid w:val="00623C48"/>
    <w:rsid w:val="00623D11"/>
    <w:rsid w:val="006258FB"/>
    <w:rsid w:val="00626055"/>
    <w:rsid w:val="006269A5"/>
    <w:rsid w:val="00626AD5"/>
    <w:rsid w:val="00626F67"/>
    <w:rsid w:val="00627024"/>
    <w:rsid w:val="00631567"/>
    <w:rsid w:val="00631C9D"/>
    <w:rsid w:val="006325FC"/>
    <w:rsid w:val="0063614B"/>
    <w:rsid w:val="00636753"/>
    <w:rsid w:val="00636AB1"/>
    <w:rsid w:val="0064036A"/>
    <w:rsid w:val="006405FB"/>
    <w:rsid w:val="00641358"/>
    <w:rsid w:val="00641BE4"/>
    <w:rsid w:val="00644542"/>
    <w:rsid w:val="00644A0F"/>
    <w:rsid w:val="0064543B"/>
    <w:rsid w:val="00650782"/>
    <w:rsid w:val="00650D0A"/>
    <w:rsid w:val="00652552"/>
    <w:rsid w:val="006528D6"/>
    <w:rsid w:val="00652D07"/>
    <w:rsid w:val="00653213"/>
    <w:rsid w:val="00653D08"/>
    <w:rsid w:val="006547F3"/>
    <w:rsid w:val="00654CE5"/>
    <w:rsid w:val="00657A7F"/>
    <w:rsid w:val="006625CF"/>
    <w:rsid w:val="00663788"/>
    <w:rsid w:val="006637E9"/>
    <w:rsid w:val="00664978"/>
    <w:rsid w:val="00664DBA"/>
    <w:rsid w:val="00664E28"/>
    <w:rsid w:val="00666FCD"/>
    <w:rsid w:val="0066788B"/>
    <w:rsid w:val="006721E8"/>
    <w:rsid w:val="0067248D"/>
    <w:rsid w:val="00672CD3"/>
    <w:rsid w:val="0067316C"/>
    <w:rsid w:val="006740E3"/>
    <w:rsid w:val="0067418A"/>
    <w:rsid w:val="0067457D"/>
    <w:rsid w:val="00674A48"/>
    <w:rsid w:val="006751AD"/>
    <w:rsid w:val="006772A4"/>
    <w:rsid w:val="00680CF9"/>
    <w:rsid w:val="00681D56"/>
    <w:rsid w:val="00682609"/>
    <w:rsid w:val="00684047"/>
    <w:rsid w:val="00685484"/>
    <w:rsid w:val="006861D8"/>
    <w:rsid w:val="0068782B"/>
    <w:rsid w:val="006878B7"/>
    <w:rsid w:val="00687AD1"/>
    <w:rsid w:val="00690558"/>
    <w:rsid w:val="00690568"/>
    <w:rsid w:val="00691425"/>
    <w:rsid w:val="006917F8"/>
    <w:rsid w:val="00692B36"/>
    <w:rsid w:val="006939CF"/>
    <w:rsid w:val="00694237"/>
    <w:rsid w:val="00694C12"/>
    <w:rsid w:val="00695896"/>
    <w:rsid w:val="006970C8"/>
    <w:rsid w:val="00697184"/>
    <w:rsid w:val="006A04F6"/>
    <w:rsid w:val="006A1A94"/>
    <w:rsid w:val="006A22A6"/>
    <w:rsid w:val="006A4D9A"/>
    <w:rsid w:val="006A550A"/>
    <w:rsid w:val="006A6F74"/>
    <w:rsid w:val="006A7B58"/>
    <w:rsid w:val="006A7F53"/>
    <w:rsid w:val="006B0053"/>
    <w:rsid w:val="006B0A78"/>
    <w:rsid w:val="006B15D3"/>
    <w:rsid w:val="006B3E60"/>
    <w:rsid w:val="006B521D"/>
    <w:rsid w:val="006B5F9A"/>
    <w:rsid w:val="006B667F"/>
    <w:rsid w:val="006B6F4E"/>
    <w:rsid w:val="006B76EF"/>
    <w:rsid w:val="006B7AA8"/>
    <w:rsid w:val="006C1F2B"/>
    <w:rsid w:val="006C2BA4"/>
    <w:rsid w:val="006C3501"/>
    <w:rsid w:val="006C3EA8"/>
    <w:rsid w:val="006C4049"/>
    <w:rsid w:val="006C41A0"/>
    <w:rsid w:val="006C43DA"/>
    <w:rsid w:val="006C453C"/>
    <w:rsid w:val="006C52F6"/>
    <w:rsid w:val="006C5322"/>
    <w:rsid w:val="006C596E"/>
    <w:rsid w:val="006C5ABC"/>
    <w:rsid w:val="006C6752"/>
    <w:rsid w:val="006C6F98"/>
    <w:rsid w:val="006C6FC2"/>
    <w:rsid w:val="006C7219"/>
    <w:rsid w:val="006C72BD"/>
    <w:rsid w:val="006D161D"/>
    <w:rsid w:val="006D2538"/>
    <w:rsid w:val="006E2FF8"/>
    <w:rsid w:val="006E3B03"/>
    <w:rsid w:val="006E41AF"/>
    <w:rsid w:val="006E4646"/>
    <w:rsid w:val="006E49D4"/>
    <w:rsid w:val="006E4BBF"/>
    <w:rsid w:val="006E4C86"/>
    <w:rsid w:val="006E5EE7"/>
    <w:rsid w:val="006E6A27"/>
    <w:rsid w:val="006E7A4D"/>
    <w:rsid w:val="006E7A9B"/>
    <w:rsid w:val="006F1E8C"/>
    <w:rsid w:val="006F1EFE"/>
    <w:rsid w:val="006F2134"/>
    <w:rsid w:val="006F3F22"/>
    <w:rsid w:val="006F4912"/>
    <w:rsid w:val="006F521A"/>
    <w:rsid w:val="006F7624"/>
    <w:rsid w:val="006F76FF"/>
    <w:rsid w:val="00700003"/>
    <w:rsid w:val="00701A73"/>
    <w:rsid w:val="00701E5E"/>
    <w:rsid w:val="0070235E"/>
    <w:rsid w:val="00703E5A"/>
    <w:rsid w:val="00705D8F"/>
    <w:rsid w:val="00705E0F"/>
    <w:rsid w:val="007076CB"/>
    <w:rsid w:val="00710846"/>
    <w:rsid w:val="00712308"/>
    <w:rsid w:val="0071293C"/>
    <w:rsid w:val="007129F6"/>
    <w:rsid w:val="007133DF"/>
    <w:rsid w:val="00713DA2"/>
    <w:rsid w:val="00715F37"/>
    <w:rsid w:val="007168ED"/>
    <w:rsid w:val="00716AF7"/>
    <w:rsid w:val="00716C38"/>
    <w:rsid w:val="0071701F"/>
    <w:rsid w:val="00720292"/>
    <w:rsid w:val="007214BD"/>
    <w:rsid w:val="00721995"/>
    <w:rsid w:val="00722F66"/>
    <w:rsid w:val="00723F83"/>
    <w:rsid w:val="00724B37"/>
    <w:rsid w:val="007256EF"/>
    <w:rsid w:val="007276B0"/>
    <w:rsid w:val="0073018D"/>
    <w:rsid w:val="007312AE"/>
    <w:rsid w:val="007313A6"/>
    <w:rsid w:val="007315F8"/>
    <w:rsid w:val="007327A4"/>
    <w:rsid w:val="00732C20"/>
    <w:rsid w:val="0073598A"/>
    <w:rsid w:val="007361A9"/>
    <w:rsid w:val="00736625"/>
    <w:rsid w:val="00736635"/>
    <w:rsid w:val="007367BD"/>
    <w:rsid w:val="00736CBC"/>
    <w:rsid w:val="00736EC0"/>
    <w:rsid w:val="00737323"/>
    <w:rsid w:val="00740BF3"/>
    <w:rsid w:val="00742D24"/>
    <w:rsid w:val="00743963"/>
    <w:rsid w:val="00743FE9"/>
    <w:rsid w:val="0074447F"/>
    <w:rsid w:val="007456DF"/>
    <w:rsid w:val="00745A64"/>
    <w:rsid w:val="00747781"/>
    <w:rsid w:val="0075055C"/>
    <w:rsid w:val="0075065A"/>
    <w:rsid w:val="00751034"/>
    <w:rsid w:val="007542C2"/>
    <w:rsid w:val="007576EC"/>
    <w:rsid w:val="00757738"/>
    <w:rsid w:val="0076030B"/>
    <w:rsid w:val="00760434"/>
    <w:rsid w:val="00761295"/>
    <w:rsid w:val="00761CAB"/>
    <w:rsid w:val="00761D28"/>
    <w:rsid w:val="00770B8A"/>
    <w:rsid w:val="00773283"/>
    <w:rsid w:val="00773482"/>
    <w:rsid w:val="007737FC"/>
    <w:rsid w:val="00773FD9"/>
    <w:rsid w:val="00775EDD"/>
    <w:rsid w:val="00776640"/>
    <w:rsid w:val="00783388"/>
    <w:rsid w:val="007840E3"/>
    <w:rsid w:val="007861C0"/>
    <w:rsid w:val="007864AC"/>
    <w:rsid w:val="00786756"/>
    <w:rsid w:val="00791A7F"/>
    <w:rsid w:val="007939B4"/>
    <w:rsid w:val="007965CF"/>
    <w:rsid w:val="00796992"/>
    <w:rsid w:val="00796E37"/>
    <w:rsid w:val="007A0B84"/>
    <w:rsid w:val="007A0FC0"/>
    <w:rsid w:val="007A121F"/>
    <w:rsid w:val="007A14EA"/>
    <w:rsid w:val="007A334C"/>
    <w:rsid w:val="007A3B7A"/>
    <w:rsid w:val="007A3DCD"/>
    <w:rsid w:val="007A593C"/>
    <w:rsid w:val="007A5C9E"/>
    <w:rsid w:val="007A766B"/>
    <w:rsid w:val="007B1625"/>
    <w:rsid w:val="007B36B2"/>
    <w:rsid w:val="007B3AE2"/>
    <w:rsid w:val="007B569E"/>
    <w:rsid w:val="007B5CAF"/>
    <w:rsid w:val="007B67CE"/>
    <w:rsid w:val="007B6B0B"/>
    <w:rsid w:val="007B79CB"/>
    <w:rsid w:val="007C067F"/>
    <w:rsid w:val="007C0E54"/>
    <w:rsid w:val="007C1F4B"/>
    <w:rsid w:val="007C296F"/>
    <w:rsid w:val="007C2BD6"/>
    <w:rsid w:val="007C3273"/>
    <w:rsid w:val="007C3B2E"/>
    <w:rsid w:val="007C6815"/>
    <w:rsid w:val="007D230C"/>
    <w:rsid w:val="007D4195"/>
    <w:rsid w:val="007D4256"/>
    <w:rsid w:val="007D5979"/>
    <w:rsid w:val="007D62D1"/>
    <w:rsid w:val="007D6C6B"/>
    <w:rsid w:val="007D7529"/>
    <w:rsid w:val="007E3381"/>
    <w:rsid w:val="007E3CE5"/>
    <w:rsid w:val="007E5A3F"/>
    <w:rsid w:val="007E5DB4"/>
    <w:rsid w:val="007E5DB5"/>
    <w:rsid w:val="007E76CF"/>
    <w:rsid w:val="007E7A20"/>
    <w:rsid w:val="007F067A"/>
    <w:rsid w:val="007F0AD7"/>
    <w:rsid w:val="007F282B"/>
    <w:rsid w:val="007F286B"/>
    <w:rsid w:val="007F2D09"/>
    <w:rsid w:val="007F4D6A"/>
    <w:rsid w:val="007F4EF7"/>
    <w:rsid w:val="007F51B9"/>
    <w:rsid w:val="007F569A"/>
    <w:rsid w:val="00800C3F"/>
    <w:rsid w:val="00800DA3"/>
    <w:rsid w:val="008010AB"/>
    <w:rsid w:val="00802043"/>
    <w:rsid w:val="00802479"/>
    <w:rsid w:val="008027F1"/>
    <w:rsid w:val="00804EFD"/>
    <w:rsid w:val="00806316"/>
    <w:rsid w:val="008067A3"/>
    <w:rsid w:val="008075C0"/>
    <w:rsid w:val="00807881"/>
    <w:rsid w:val="00810D4C"/>
    <w:rsid w:val="00811624"/>
    <w:rsid w:val="00811649"/>
    <w:rsid w:val="0081265F"/>
    <w:rsid w:val="00813223"/>
    <w:rsid w:val="00813BF4"/>
    <w:rsid w:val="00814480"/>
    <w:rsid w:val="00817617"/>
    <w:rsid w:val="00817E64"/>
    <w:rsid w:val="0082285C"/>
    <w:rsid w:val="0082420F"/>
    <w:rsid w:val="008252C7"/>
    <w:rsid w:val="00830096"/>
    <w:rsid w:val="0083096C"/>
    <w:rsid w:val="008332A7"/>
    <w:rsid w:val="00834E60"/>
    <w:rsid w:val="00836B9E"/>
    <w:rsid w:val="00836FED"/>
    <w:rsid w:val="008401EF"/>
    <w:rsid w:val="00840791"/>
    <w:rsid w:val="00841C29"/>
    <w:rsid w:val="008430D5"/>
    <w:rsid w:val="00844600"/>
    <w:rsid w:val="00845E40"/>
    <w:rsid w:val="00847482"/>
    <w:rsid w:val="0085043B"/>
    <w:rsid w:val="0085082B"/>
    <w:rsid w:val="00850C62"/>
    <w:rsid w:val="00850C9F"/>
    <w:rsid w:val="008514E4"/>
    <w:rsid w:val="00851C4B"/>
    <w:rsid w:val="008521A6"/>
    <w:rsid w:val="008523E4"/>
    <w:rsid w:val="00853E56"/>
    <w:rsid w:val="00854831"/>
    <w:rsid w:val="008550F5"/>
    <w:rsid w:val="008566F0"/>
    <w:rsid w:val="0085704C"/>
    <w:rsid w:val="00857831"/>
    <w:rsid w:val="008609B4"/>
    <w:rsid w:val="008615B8"/>
    <w:rsid w:val="00861AE3"/>
    <w:rsid w:val="00863C8C"/>
    <w:rsid w:val="0086512E"/>
    <w:rsid w:val="00866DF4"/>
    <w:rsid w:val="00867046"/>
    <w:rsid w:val="008701EB"/>
    <w:rsid w:val="00871F5B"/>
    <w:rsid w:val="00874F46"/>
    <w:rsid w:val="00875816"/>
    <w:rsid w:val="00875A91"/>
    <w:rsid w:val="0087601D"/>
    <w:rsid w:val="00880FC7"/>
    <w:rsid w:val="0088198F"/>
    <w:rsid w:val="00884E7F"/>
    <w:rsid w:val="0088570F"/>
    <w:rsid w:val="00885EAB"/>
    <w:rsid w:val="008865B4"/>
    <w:rsid w:val="008872AA"/>
    <w:rsid w:val="00890AA0"/>
    <w:rsid w:val="00890F6F"/>
    <w:rsid w:val="00892CB9"/>
    <w:rsid w:val="00893DCC"/>
    <w:rsid w:val="00893E43"/>
    <w:rsid w:val="008947EE"/>
    <w:rsid w:val="0089495A"/>
    <w:rsid w:val="00894D86"/>
    <w:rsid w:val="008951D5"/>
    <w:rsid w:val="00895475"/>
    <w:rsid w:val="0089548A"/>
    <w:rsid w:val="00895EE5"/>
    <w:rsid w:val="00896273"/>
    <w:rsid w:val="00897572"/>
    <w:rsid w:val="00897EB2"/>
    <w:rsid w:val="008A0C3D"/>
    <w:rsid w:val="008A1D5C"/>
    <w:rsid w:val="008A5651"/>
    <w:rsid w:val="008A621A"/>
    <w:rsid w:val="008A7BD5"/>
    <w:rsid w:val="008A7C99"/>
    <w:rsid w:val="008B22C8"/>
    <w:rsid w:val="008B32F2"/>
    <w:rsid w:val="008B3BCB"/>
    <w:rsid w:val="008B45B0"/>
    <w:rsid w:val="008B6278"/>
    <w:rsid w:val="008B713B"/>
    <w:rsid w:val="008C0E0C"/>
    <w:rsid w:val="008C1183"/>
    <w:rsid w:val="008C13BF"/>
    <w:rsid w:val="008C15CE"/>
    <w:rsid w:val="008C350B"/>
    <w:rsid w:val="008C3C00"/>
    <w:rsid w:val="008C3CA9"/>
    <w:rsid w:val="008C3CFF"/>
    <w:rsid w:val="008C4450"/>
    <w:rsid w:val="008C7524"/>
    <w:rsid w:val="008C7D6F"/>
    <w:rsid w:val="008D028A"/>
    <w:rsid w:val="008D0A88"/>
    <w:rsid w:val="008D0FA7"/>
    <w:rsid w:val="008D1FD0"/>
    <w:rsid w:val="008D2A3B"/>
    <w:rsid w:val="008D44E8"/>
    <w:rsid w:val="008D5DC7"/>
    <w:rsid w:val="008D6AEA"/>
    <w:rsid w:val="008D6D5A"/>
    <w:rsid w:val="008E123C"/>
    <w:rsid w:val="008E280D"/>
    <w:rsid w:val="008E340B"/>
    <w:rsid w:val="008E3F96"/>
    <w:rsid w:val="008E514F"/>
    <w:rsid w:val="008F0134"/>
    <w:rsid w:val="008F013A"/>
    <w:rsid w:val="008F2349"/>
    <w:rsid w:val="008F25B6"/>
    <w:rsid w:val="008F2CC4"/>
    <w:rsid w:val="008F2D5F"/>
    <w:rsid w:val="008F33B4"/>
    <w:rsid w:val="008F35CF"/>
    <w:rsid w:val="008F3A67"/>
    <w:rsid w:val="008F5756"/>
    <w:rsid w:val="008F7124"/>
    <w:rsid w:val="008F7ABE"/>
    <w:rsid w:val="008F7F6E"/>
    <w:rsid w:val="00900F77"/>
    <w:rsid w:val="009011F1"/>
    <w:rsid w:val="009018E9"/>
    <w:rsid w:val="00903C50"/>
    <w:rsid w:val="00904AAD"/>
    <w:rsid w:val="00905D99"/>
    <w:rsid w:val="00906542"/>
    <w:rsid w:val="00906A1C"/>
    <w:rsid w:val="00907564"/>
    <w:rsid w:val="00907A0A"/>
    <w:rsid w:val="00911399"/>
    <w:rsid w:val="009124C7"/>
    <w:rsid w:val="00912627"/>
    <w:rsid w:val="00912E4C"/>
    <w:rsid w:val="009130FA"/>
    <w:rsid w:val="00913AA0"/>
    <w:rsid w:val="00913BC2"/>
    <w:rsid w:val="00913D1E"/>
    <w:rsid w:val="009152DE"/>
    <w:rsid w:val="00915D57"/>
    <w:rsid w:val="0091753A"/>
    <w:rsid w:val="00917E68"/>
    <w:rsid w:val="009201CD"/>
    <w:rsid w:val="0092048B"/>
    <w:rsid w:val="009238AA"/>
    <w:rsid w:val="00923CFA"/>
    <w:rsid w:val="00924CDD"/>
    <w:rsid w:val="00925A71"/>
    <w:rsid w:val="00930282"/>
    <w:rsid w:val="009302E0"/>
    <w:rsid w:val="00930B9D"/>
    <w:rsid w:val="009350B7"/>
    <w:rsid w:val="0093573A"/>
    <w:rsid w:val="00940654"/>
    <w:rsid w:val="00940A9B"/>
    <w:rsid w:val="009410C9"/>
    <w:rsid w:val="00942107"/>
    <w:rsid w:val="009438EC"/>
    <w:rsid w:val="00943B7C"/>
    <w:rsid w:val="00945005"/>
    <w:rsid w:val="009452BF"/>
    <w:rsid w:val="00947EDD"/>
    <w:rsid w:val="00951214"/>
    <w:rsid w:val="0095303C"/>
    <w:rsid w:val="00953132"/>
    <w:rsid w:val="00953C2A"/>
    <w:rsid w:val="00953DBB"/>
    <w:rsid w:val="00956311"/>
    <w:rsid w:val="00957855"/>
    <w:rsid w:val="0096146B"/>
    <w:rsid w:val="0096303C"/>
    <w:rsid w:val="00964160"/>
    <w:rsid w:val="00964376"/>
    <w:rsid w:val="00964F0F"/>
    <w:rsid w:val="009651E8"/>
    <w:rsid w:val="00967115"/>
    <w:rsid w:val="00971CB9"/>
    <w:rsid w:val="00973178"/>
    <w:rsid w:val="00973182"/>
    <w:rsid w:val="00974B40"/>
    <w:rsid w:val="00975C83"/>
    <w:rsid w:val="00976C3F"/>
    <w:rsid w:val="0097755D"/>
    <w:rsid w:val="0097777F"/>
    <w:rsid w:val="00980934"/>
    <w:rsid w:val="00980C53"/>
    <w:rsid w:val="00981657"/>
    <w:rsid w:val="00982A2D"/>
    <w:rsid w:val="00984253"/>
    <w:rsid w:val="00984AAC"/>
    <w:rsid w:val="009856C4"/>
    <w:rsid w:val="00986EB0"/>
    <w:rsid w:val="00987EA8"/>
    <w:rsid w:val="00990EF2"/>
    <w:rsid w:val="00993F4A"/>
    <w:rsid w:val="009940D2"/>
    <w:rsid w:val="0099528B"/>
    <w:rsid w:val="00997032"/>
    <w:rsid w:val="00997737"/>
    <w:rsid w:val="009A173B"/>
    <w:rsid w:val="009A22BA"/>
    <w:rsid w:val="009A24B1"/>
    <w:rsid w:val="009A38A1"/>
    <w:rsid w:val="009A517B"/>
    <w:rsid w:val="009A72E2"/>
    <w:rsid w:val="009B181A"/>
    <w:rsid w:val="009B291D"/>
    <w:rsid w:val="009B2F18"/>
    <w:rsid w:val="009B3461"/>
    <w:rsid w:val="009B51B4"/>
    <w:rsid w:val="009B5335"/>
    <w:rsid w:val="009B73DE"/>
    <w:rsid w:val="009B7636"/>
    <w:rsid w:val="009C1046"/>
    <w:rsid w:val="009C1439"/>
    <w:rsid w:val="009C1742"/>
    <w:rsid w:val="009C2F54"/>
    <w:rsid w:val="009C39ED"/>
    <w:rsid w:val="009C586F"/>
    <w:rsid w:val="009C5E02"/>
    <w:rsid w:val="009C6873"/>
    <w:rsid w:val="009C6CDA"/>
    <w:rsid w:val="009C75B9"/>
    <w:rsid w:val="009C762F"/>
    <w:rsid w:val="009D00D4"/>
    <w:rsid w:val="009D09DE"/>
    <w:rsid w:val="009D0A87"/>
    <w:rsid w:val="009D11C8"/>
    <w:rsid w:val="009D20D0"/>
    <w:rsid w:val="009D24B4"/>
    <w:rsid w:val="009D3C05"/>
    <w:rsid w:val="009D3D95"/>
    <w:rsid w:val="009D59A5"/>
    <w:rsid w:val="009D633A"/>
    <w:rsid w:val="009D78D6"/>
    <w:rsid w:val="009D7A1A"/>
    <w:rsid w:val="009E0029"/>
    <w:rsid w:val="009E0A14"/>
    <w:rsid w:val="009E0BE6"/>
    <w:rsid w:val="009E0E90"/>
    <w:rsid w:val="009E121E"/>
    <w:rsid w:val="009E35E8"/>
    <w:rsid w:val="009E3AF9"/>
    <w:rsid w:val="009E4035"/>
    <w:rsid w:val="009E49FF"/>
    <w:rsid w:val="009E565C"/>
    <w:rsid w:val="009E5C99"/>
    <w:rsid w:val="009E6D4D"/>
    <w:rsid w:val="009E7005"/>
    <w:rsid w:val="009F02E9"/>
    <w:rsid w:val="009F0D37"/>
    <w:rsid w:val="009F2DDE"/>
    <w:rsid w:val="009F4E85"/>
    <w:rsid w:val="009F6272"/>
    <w:rsid w:val="009F62B3"/>
    <w:rsid w:val="00A00DCA"/>
    <w:rsid w:val="00A02461"/>
    <w:rsid w:val="00A0365E"/>
    <w:rsid w:val="00A037D5"/>
    <w:rsid w:val="00A03BD7"/>
    <w:rsid w:val="00A0545C"/>
    <w:rsid w:val="00A05720"/>
    <w:rsid w:val="00A06D5E"/>
    <w:rsid w:val="00A06DE7"/>
    <w:rsid w:val="00A11F78"/>
    <w:rsid w:val="00A148BF"/>
    <w:rsid w:val="00A15FDD"/>
    <w:rsid w:val="00A178E8"/>
    <w:rsid w:val="00A20449"/>
    <w:rsid w:val="00A214E1"/>
    <w:rsid w:val="00A23443"/>
    <w:rsid w:val="00A24F61"/>
    <w:rsid w:val="00A25543"/>
    <w:rsid w:val="00A25E35"/>
    <w:rsid w:val="00A263BC"/>
    <w:rsid w:val="00A26C80"/>
    <w:rsid w:val="00A31D44"/>
    <w:rsid w:val="00A31EE4"/>
    <w:rsid w:val="00A33EC8"/>
    <w:rsid w:val="00A34EAF"/>
    <w:rsid w:val="00A3528B"/>
    <w:rsid w:val="00A366DB"/>
    <w:rsid w:val="00A366F2"/>
    <w:rsid w:val="00A369D9"/>
    <w:rsid w:val="00A37A83"/>
    <w:rsid w:val="00A401E7"/>
    <w:rsid w:val="00A405EE"/>
    <w:rsid w:val="00A41B3E"/>
    <w:rsid w:val="00A4335B"/>
    <w:rsid w:val="00A43380"/>
    <w:rsid w:val="00A4357A"/>
    <w:rsid w:val="00A44C8A"/>
    <w:rsid w:val="00A45413"/>
    <w:rsid w:val="00A45742"/>
    <w:rsid w:val="00A45751"/>
    <w:rsid w:val="00A47223"/>
    <w:rsid w:val="00A476CF"/>
    <w:rsid w:val="00A47E5E"/>
    <w:rsid w:val="00A50ACE"/>
    <w:rsid w:val="00A5165C"/>
    <w:rsid w:val="00A564D7"/>
    <w:rsid w:val="00A56D66"/>
    <w:rsid w:val="00A62B3A"/>
    <w:rsid w:val="00A63FE5"/>
    <w:rsid w:val="00A65E97"/>
    <w:rsid w:val="00A65FE1"/>
    <w:rsid w:val="00A66522"/>
    <w:rsid w:val="00A67C54"/>
    <w:rsid w:val="00A709C3"/>
    <w:rsid w:val="00A7107D"/>
    <w:rsid w:val="00A7179A"/>
    <w:rsid w:val="00A72941"/>
    <w:rsid w:val="00A80143"/>
    <w:rsid w:val="00A80AE0"/>
    <w:rsid w:val="00A824E6"/>
    <w:rsid w:val="00A82AE3"/>
    <w:rsid w:val="00A8321E"/>
    <w:rsid w:val="00A83303"/>
    <w:rsid w:val="00A83848"/>
    <w:rsid w:val="00A84A79"/>
    <w:rsid w:val="00A86BC0"/>
    <w:rsid w:val="00A86BF6"/>
    <w:rsid w:val="00A8744E"/>
    <w:rsid w:val="00A903F3"/>
    <w:rsid w:val="00A9443E"/>
    <w:rsid w:val="00A9496D"/>
    <w:rsid w:val="00A95E68"/>
    <w:rsid w:val="00A96C69"/>
    <w:rsid w:val="00AA026A"/>
    <w:rsid w:val="00AA054D"/>
    <w:rsid w:val="00AA0F6E"/>
    <w:rsid w:val="00AA12E9"/>
    <w:rsid w:val="00AA282E"/>
    <w:rsid w:val="00AA33DB"/>
    <w:rsid w:val="00AA3838"/>
    <w:rsid w:val="00AA3FC5"/>
    <w:rsid w:val="00AA4535"/>
    <w:rsid w:val="00AA5D17"/>
    <w:rsid w:val="00AA6514"/>
    <w:rsid w:val="00AA68FB"/>
    <w:rsid w:val="00AA6A95"/>
    <w:rsid w:val="00AA6D53"/>
    <w:rsid w:val="00AABA91"/>
    <w:rsid w:val="00AB0C17"/>
    <w:rsid w:val="00AB0DC6"/>
    <w:rsid w:val="00AB27A8"/>
    <w:rsid w:val="00AB4846"/>
    <w:rsid w:val="00AB4A72"/>
    <w:rsid w:val="00AB4F08"/>
    <w:rsid w:val="00AB5558"/>
    <w:rsid w:val="00AB565B"/>
    <w:rsid w:val="00AB567F"/>
    <w:rsid w:val="00AB62AC"/>
    <w:rsid w:val="00AB7115"/>
    <w:rsid w:val="00AB76B4"/>
    <w:rsid w:val="00AB7DB7"/>
    <w:rsid w:val="00AC0287"/>
    <w:rsid w:val="00AC045C"/>
    <w:rsid w:val="00AC415D"/>
    <w:rsid w:val="00AC4C01"/>
    <w:rsid w:val="00AC4F8D"/>
    <w:rsid w:val="00AC51A9"/>
    <w:rsid w:val="00AC61BC"/>
    <w:rsid w:val="00AC6708"/>
    <w:rsid w:val="00AC7B83"/>
    <w:rsid w:val="00AD106D"/>
    <w:rsid w:val="00AD1B2B"/>
    <w:rsid w:val="00AD1C43"/>
    <w:rsid w:val="00AD302A"/>
    <w:rsid w:val="00AD3139"/>
    <w:rsid w:val="00AD43F3"/>
    <w:rsid w:val="00AD4751"/>
    <w:rsid w:val="00AD4A4B"/>
    <w:rsid w:val="00AD4F0D"/>
    <w:rsid w:val="00AD5614"/>
    <w:rsid w:val="00AD57C7"/>
    <w:rsid w:val="00AD6D86"/>
    <w:rsid w:val="00AE10BC"/>
    <w:rsid w:val="00AE1D1F"/>
    <w:rsid w:val="00AE4640"/>
    <w:rsid w:val="00AE6C12"/>
    <w:rsid w:val="00AE766D"/>
    <w:rsid w:val="00AF1747"/>
    <w:rsid w:val="00AF2CC3"/>
    <w:rsid w:val="00AF30C9"/>
    <w:rsid w:val="00AF3EA9"/>
    <w:rsid w:val="00AF7B04"/>
    <w:rsid w:val="00B01293"/>
    <w:rsid w:val="00B016F2"/>
    <w:rsid w:val="00B01899"/>
    <w:rsid w:val="00B0205F"/>
    <w:rsid w:val="00B02698"/>
    <w:rsid w:val="00B036B1"/>
    <w:rsid w:val="00B037EB"/>
    <w:rsid w:val="00B05046"/>
    <w:rsid w:val="00B05B49"/>
    <w:rsid w:val="00B05E08"/>
    <w:rsid w:val="00B1132F"/>
    <w:rsid w:val="00B11B49"/>
    <w:rsid w:val="00B134AF"/>
    <w:rsid w:val="00B14011"/>
    <w:rsid w:val="00B157D9"/>
    <w:rsid w:val="00B166FC"/>
    <w:rsid w:val="00B170CC"/>
    <w:rsid w:val="00B20EB8"/>
    <w:rsid w:val="00B21B95"/>
    <w:rsid w:val="00B21BDF"/>
    <w:rsid w:val="00B23E89"/>
    <w:rsid w:val="00B253D5"/>
    <w:rsid w:val="00B2579E"/>
    <w:rsid w:val="00B30498"/>
    <w:rsid w:val="00B31419"/>
    <w:rsid w:val="00B31C06"/>
    <w:rsid w:val="00B322B7"/>
    <w:rsid w:val="00B34419"/>
    <w:rsid w:val="00B35F21"/>
    <w:rsid w:val="00B360CB"/>
    <w:rsid w:val="00B36164"/>
    <w:rsid w:val="00B372E2"/>
    <w:rsid w:val="00B37F97"/>
    <w:rsid w:val="00B4029B"/>
    <w:rsid w:val="00B4047F"/>
    <w:rsid w:val="00B406B4"/>
    <w:rsid w:val="00B42037"/>
    <w:rsid w:val="00B429EE"/>
    <w:rsid w:val="00B446B3"/>
    <w:rsid w:val="00B46244"/>
    <w:rsid w:val="00B47114"/>
    <w:rsid w:val="00B472E7"/>
    <w:rsid w:val="00B5005A"/>
    <w:rsid w:val="00B503B1"/>
    <w:rsid w:val="00B50A40"/>
    <w:rsid w:val="00B51779"/>
    <w:rsid w:val="00B54038"/>
    <w:rsid w:val="00B55FDC"/>
    <w:rsid w:val="00B615BE"/>
    <w:rsid w:val="00B620D8"/>
    <w:rsid w:val="00B628B3"/>
    <w:rsid w:val="00B63790"/>
    <w:rsid w:val="00B65C9D"/>
    <w:rsid w:val="00B664EC"/>
    <w:rsid w:val="00B665BE"/>
    <w:rsid w:val="00B720A8"/>
    <w:rsid w:val="00B72555"/>
    <w:rsid w:val="00B72F4A"/>
    <w:rsid w:val="00B739ED"/>
    <w:rsid w:val="00B75062"/>
    <w:rsid w:val="00B80C9D"/>
    <w:rsid w:val="00B82DE8"/>
    <w:rsid w:val="00B83B80"/>
    <w:rsid w:val="00B8533A"/>
    <w:rsid w:val="00B85691"/>
    <w:rsid w:val="00B85929"/>
    <w:rsid w:val="00B861C4"/>
    <w:rsid w:val="00B86A09"/>
    <w:rsid w:val="00B87582"/>
    <w:rsid w:val="00B909F8"/>
    <w:rsid w:val="00B9246C"/>
    <w:rsid w:val="00B92D26"/>
    <w:rsid w:val="00B92E34"/>
    <w:rsid w:val="00B951DE"/>
    <w:rsid w:val="00B9587E"/>
    <w:rsid w:val="00B95EC4"/>
    <w:rsid w:val="00B975F4"/>
    <w:rsid w:val="00BA01EC"/>
    <w:rsid w:val="00BA0A6D"/>
    <w:rsid w:val="00BA2E7C"/>
    <w:rsid w:val="00BA496D"/>
    <w:rsid w:val="00BA61EF"/>
    <w:rsid w:val="00BA6A8C"/>
    <w:rsid w:val="00BA76E4"/>
    <w:rsid w:val="00BB0E52"/>
    <w:rsid w:val="00BB1B16"/>
    <w:rsid w:val="00BB242A"/>
    <w:rsid w:val="00BB2F29"/>
    <w:rsid w:val="00BB384F"/>
    <w:rsid w:val="00BB4657"/>
    <w:rsid w:val="00BB49F2"/>
    <w:rsid w:val="00BB6D79"/>
    <w:rsid w:val="00BC051D"/>
    <w:rsid w:val="00BC06D6"/>
    <w:rsid w:val="00BC2A65"/>
    <w:rsid w:val="00BC2BC3"/>
    <w:rsid w:val="00BC4805"/>
    <w:rsid w:val="00BC4977"/>
    <w:rsid w:val="00BC5B44"/>
    <w:rsid w:val="00BC68BD"/>
    <w:rsid w:val="00BD17EE"/>
    <w:rsid w:val="00BD309E"/>
    <w:rsid w:val="00BD513C"/>
    <w:rsid w:val="00BD5941"/>
    <w:rsid w:val="00BD5BE6"/>
    <w:rsid w:val="00BD6861"/>
    <w:rsid w:val="00BD7A98"/>
    <w:rsid w:val="00BE053B"/>
    <w:rsid w:val="00BE1CDC"/>
    <w:rsid w:val="00BE2E2A"/>
    <w:rsid w:val="00BE32DA"/>
    <w:rsid w:val="00BF03FA"/>
    <w:rsid w:val="00BF2628"/>
    <w:rsid w:val="00BF35E3"/>
    <w:rsid w:val="00BF3641"/>
    <w:rsid w:val="00BF3B2C"/>
    <w:rsid w:val="00BF46EA"/>
    <w:rsid w:val="00BF4B2F"/>
    <w:rsid w:val="00BF6208"/>
    <w:rsid w:val="00BF70ED"/>
    <w:rsid w:val="00BF746D"/>
    <w:rsid w:val="00C02454"/>
    <w:rsid w:val="00C03227"/>
    <w:rsid w:val="00C03C2F"/>
    <w:rsid w:val="00C03FBB"/>
    <w:rsid w:val="00C05D97"/>
    <w:rsid w:val="00C06574"/>
    <w:rsid w:val="00C068A5"/>
    <w:rsid w:val="00C07166"/>
    <w:rsid w:val="00C07C90"/>
    <w:rsid w:val="00C10362"/>
    <w:rsid w:val="00C118C5"/>
    <w:rsid w:val="00C151E6"/>
    <w:rsid w:val="00C15FD1"/>
    <w:rsid w:val="00C1653F"/>
    <w:rsid w:val="00C172F6"/>
    <w:rsid w:val="00C204AF"/>
    <w:rsid w:val="00C20613"/>
    <w:rsid w:val="00C20B47"/>
    <w:rsid w:val="00C21422"/>
    <w:rsid w:val="00C21A82"/>
    <w:rsid w:val="00C226EE"/>
    <w:rsid w:val="00C24E68"/>
    <w:rsid w:val="00C2593C"/>
    <w:rsid w:val="00C25FF2"/>
    <w:rsid w:val="00C27090"/>
    <w:rsid w:val="00C27D4A"/>
    <w:rsid w:val="00C30AD7"/>
    <w:rsid w:val="00C31C8B"/>
    <w:rsid w:val="00C31CBF"/>
    <w:rsid w:val="00C320C4"/>
    <w:rsid w:val="00C348A7"/>
    <w:rsid w:val="00C369FD"/>
    <w:rsid w:val="00C36E85"/>
    <w:rsid w:val="00C4080A"/>
    <w:rsid w:val="00C41B15"/>
    <w:rsid w:val="00C4363B"/>
    <w:rsid w:val="00C43926"/>
    <w:rsid w:val="00C44F01"/>
    <w:rsid w:val="00C4528A"/>
    <w:rsid w:val="00C50041"/>
    <w:rsid w:val="00C51A58"/>
    <w:rsid w:val="00C51BB0"/>
    <w:rsid w:val="00C533BB"/>
    <w:rsid w:val="00C54055"/>
    <w:rsid w:val="00C549DB"/>
    <w:rsid w:val="00C54B3F"/>
    <w:rsid w:val="00C5556B"/>
    <w:rsid w:val="00C558E7"/>
    <w:rsid w:val="00C563E9"/>
    <w:rsid w:val="00C57EA6"/>
    <w:rsid w:val="00C60758"/>
    <w:rsid w:val="00C623AA"/>
    <w:rsid w:val="00C62CDA"/>
    <w:rsid w:val="00C6316D"/>
    <w:rsid w:val="00C63539"/>
    <w:rsid w:val="00C63CB1"/>
    <w:rsid w:val="00C644F9"/>
    <w:rsid w:val="00C65AF7"/>
    <w:rsid w:val="00C65E84"/>
    <w:rsid w:val="00C66696"/>
    <w:rsid w:val="00C700C8"/>
    <w:rsid w:val="00C70DDB"/>
    <w:rsid w:val="00C71143"/>
    <w:rsid w:val="00C714B3"/>
    <w:rsid w:val="00C73BB1"/>
    <w:rsid w:val="00C74221"/>
    <w:rsid w:val="00C75273"/>
    <w:rsid w:val="00C75883"/>
    <w:rsid w:val="00C75B44"/>
    <w:rsid w:val="00C75BA0"/>
    <w:rsid w:val="00C75E45"/>
    <w:rsid w:val="00C8245B"/>
    <w:rsid w:val="00C82868"/>
    <w:rsid w:val="00C82F19"/>
    <w:rsid w:val="00C850D9"/>
    <w:rsid w:val="00C8570F"/>
    <w:rsid w:val="00C87303"/>
    <w:rsid w:val="00C87DAB"/>
    <w:rsid w:val="00C87E6D"/>
    <w:rsid w:val="00C903AD"/>
    <w:rsid w:val="00C90BC9"/>
    <w:rsid w:val="00C9109B"/>
    <w:rsid w:val="00C93651"/>
    <w:rsid w:val="00C950F8"/>
    <w:rsid w:val="00C95762"/>
    <w:rsid w:val="00C95E4C"/>
    <w:rsid w:val="00CA032E"/>
    <w:rsid w:val="00CA253A"/>
    <w:rsid w:val="00CA3D4E"/>
    <w:rsid w:val="00CA5132"/>
    <w:rsid w:val="00CA6430"/>
    <w:rsid w:val="00CA7D02"/>
    <w:rsid w:val="00CB06D2"/>
    <w:rsid w:val="00CB083D"/>
    <w:rsid w:val="00CB1E99"/>
    <w:rsid w:val="00CB3080"/>
    <w:rsid w:val="00CB36B0"/>
    <w:rsid w:val="00CB3B0F"/>
    <w:rsid w:val="00CB4E8D"/>
    <w:rsid w:val="00CB6BC9"/>
    <w:rsid w:val="00CB7F51"/>
    <w:rsid w:val="00CC1863"/>
    <w:rsid w:val="00CC2608"/>
    <w:rsid w:val="00CC5747"/>
    <w:rsid w:val="00CC623C"/>
    <w:rsid w:val="00CC7773"/>
    <w:rsid w:val="00CC779D"/>
    <w:rsid w:val="00CC7C30"/>
    <w:rsid w:val="00CD0216"/>
    <w:rsid w:val="00CD10E4"/>
    <w:rsid w:val="00CD1206"/>
    <w:rsid w:val="00CD1A06"/>
    <w:rsid w:val="00CD25F0"/>
    <w:rsid w:val="00CD3485"/>
    <w:rsid w:val="00CD5F2A"/>
    <w:rsid w:val="00CD66A5"/>
    <w:rsid w:val="00CD7132"/>
    <w:rsid w:val="00CE037F"/>
    <w:rsid w:val="00CE106E"/>
    <w:rsid w:val="00CE2C8A"/>
    <w:rsid w:val="00CE3151"/>
    <w:rsid w:val="00CE3206"/>
    <w:rsid w:val="00CE5937"/>
    <w:rsid w:val="00CE699A"/>
    <w:rsid w:val="00CE6F4A"/>
    <w:rsid w:val="00CF063A"/>
    <w:rsid w:val="00CF23E6"/>
    <w:rsid w:val="00CF23EA"/>
    <w:rsid w:val="00CF295A"/>
    <w:rsid w:val="00CF2E0F"/>
    <w:rsid w:val="00CF3BE4"/>
    <w:rsid w:val="00CF56FC"/>
    <w:rsid w:val="00CF755C"/>
    <w:rsid w:val="00D01375"/>
    <w:rsid w:val="00D04DC1"/>
    <w:rsid w:val="00D064DD"/>
    <w:rsid w:val="00D071E1"/>
    <w:rsid w:val="00D10914"/>
    <w:rsid w:val="00D135B6"/>
    <w:rsid w:val="00D138DE"/>
    <w:rsid w:val="00D14705"/>
    <w:rsid w:val="00D14C1A"/>
    <w:rsid w:val="00D158B5"/>
    <w:rsid w:val="00D16927"/>
    <w:rsid w:val="00D20640"/>
    <w:rsid w:val="00D20949"/>
    <w:rsid w:val="00D20CF3"/>
    <w:rsid w:val="00D21467"/>
    <w:rsid w:val="00D2263C"/>
    <w:rsid w:val="00D26CF9"/>
    <w:rsid w:val="00D30747"/>
    <w:rsid w:val="00D3348E"/>
    <w:rsid w:val="00D3405B"/>
    <w:rsid w:val="00D347D8"/>
    <w:rsid w:val="00D349EE"/>
    <w:rsid w:val="00D34D01"/>
    <w:rsid w:val="00D3556C"/>
    <w:rsid w:val="00D3556E"/>
    <w:rsid w:val="00D37BE1"/>
    <w:rsid w:val="00D40F05"/>
    <w:rsid w:val="00D424E5"/>
    <w:rsid w:val="00D4292B"/>
    <w:rsid w:val="00D4383D"/>
    <w:rsid w:val="00D44A3C"/>
    <w:rsid w:val="00D44E71"/>
    <w:rsid w:val="00D452FC"/>
    <w:rsid w:val="00D47283"/>
    <w:rsid w:val="00D47686"/>
    <w:rsid w:val="00D50801"/>
    <w:rsid w:val="00D52330"/>
    <w:rsid w:val="00D52633"/>
    <w:rsid w:val="00D536AA"/>
    <w:rsid w:val="00D53EDA"/>
    <w:rsid w:val="00D53F44"/>
    <w:rsid w:val="00D54202"/>
    <w:rsid w:val="00D54A4D"/>
    <w:rsid w:val="00D55ACF"/>
    <w:rsid w:val="00D56D32"/>
    <w:rsid w:val="00D57C9B"/>
    <w:rsid w:val="00D630D7"/>
    <w:rsid w:val="00D647DA"/>
    <w:rsid w:val="00D6541A"/>
    <w:rsid w:val="00D6626B"/>
    <w:rsid w:val="00D67076"/>
    <w:rsid w:val="00D717D8"/>
    <w:rsid w:val="00D71892"/>
    <w:rsid w:val="00D745E0"/>
    <w:rsid w:val="00D74870"/>
    <w:rsid w:val="00D74AA6"/>
    <w:rsid w:val="00D74B1D"/>
    <w:rsid w:val="00D80E5D"/>
    <w:rsid w:val="00D817B0"/>
    <w:rsid w:val="00D834D6"/>
    <w:rsid w:val="00D85265"/>
    <w:rsid w:val="00D865ED"/>
    <w:rsid w:val="00D870E7"/>
    <w:rsid w:val="00D90C3A"/>
    <w:rsid w:val="00D91BFE"/>
    <w:rsid w:val="00D92383"/>
    <w:rsid w:val="00D9402C"/>
    <w:rsid w:val="00D94A82"/>
    <w:rsid w:val="00D95712"/>
    <w:rsid w:val="00D97745"/>
    <w:rsid w:val="00DA12AB"/>
    <w:rsid w:val="00DA1363"/>
    <w:rsid w:val="00DA1B81"/>
    <w:rsid w:val="00DA270C"/>
    <w:rsid w:val="00DA3604"/>
    <w:rsid w:val="00DA3CAF"/>
    <w:rsid w:val="00DA4706"/>
    <w:rsid w:val="00DA4C1D"/>
    <w:rsid w:val="00DA644B"/>
    <w:rsid w:val="00DA6724"/>
    <w:rsid w:val="00DA6DC9"/>
    <w:rsid w:val="00DA7501"/>
    <w:rsid w:val="00DB0BDF"/>
    <w:rsid w:val="00DB3DAF"/>
    <w:rsid w:val="00DB3E92"/>
    <w:rsid w:val="00DB4236"/>
    <w:rsid w:val="00DB46F3"/>
    <w:rsid w:val="00DC06AF"/>
    <w:rsid w:val="00DC0FC0"/>
    <w:rsid w:val="00DC182B"/>
    <w:rsid w:val="00DC2455"/>
    <w:rsid w:val="00DC29B1"/>
    <w:rsid w:val="00DC2A54"/>
    <w:rsid w:val="00DC2ACA"/>
    <w:rsid w:val="00DC2CA8"/>
    <w:rsid w:val="00DC2CF7"/>
    <w:rsid w:val="00DC3683"/>
    <w:rsid w:val="00DC484D"/>
    <w:rsid w:val="00DD179F"/>
    <w:rsid w:val="00DD242C"/>
    <w:rsid w:val="00DD6618"/>
    <w:rsid w:val="00DD75D6"/>
    <w:rsid w:val="00DE0120"/>
    <w:rsid w:val="00DE1B12"/>
    <w:rsid w:val="00DE2D65"/>
    <w:rsid w:val="00DE40AB"/>
    <w:rsid w:val="00DE5C20"/>
    <w:rsid w:val="00DE64D5"/>
    <w:rsid w:val="00DE6F07"/>
    <w:rsid w:val="00DE7E3C"/>
    <w:rsid w:val="00DF182F"/>
    <w:rsid w:val="00DF1B62"/>
    <w:rsid w:val="00DF1F03"/>
    <w:rsid w:val="00DF29BD"/>
    <w:rsid w:val="00DF2FB1"/>
    <w:rsid w:val="00DF4CA5"/>
    <w:rsid w:val="00DF5B39"/>
    <w:rsid w:val="00DF5F5F"/>
    <w:rsid w:val="00DF60ED"/>
    <w:rsid w:val="00DF70A7"/>
    <w:rsid w:val="00E00585"/>
    <w:rsid w:val="00E00963"/>
    <w:rsid w:val="00E0157E"/>
    <w:rsid w:val="00E021C5"/>
    <w:rsid w:val="00E03312"/>
    <w:rsid w:val="00E065F8"/>
    <w:rsid w:val="00E06DAD"/>
    <w:rsid w:val="00E10299"/>
    <w:rsid w:val="00E125CD"/>
    <w:rsid w:val="00E128B9"/>
    <w:rsid w:val="00E1441B"/>
    <w:rsid w:val="00E14AB4"/>
    <w:rsid w:val="00E15EA7"/>
    <w:rsid w:val="00E203F5"/>
    <w:rsid w:val="00E2095A"/>
    <w:rsid w:val="00E20979"/>
    <w:rsid w:val="00E20FF2"/>
    <w:rsid w:val="00E22354"/>
    <w:rsid w:val="00E240A7"/>
    <w:rsid w:val="00E24A05"/>
    <w:rsid w:val="00E25A82"/>
    <w:rsid w:val="00E262F9"/>
    <w:rsid w:val="00E26CA3"/>
    <w:rsid w:val="00E30006"/>
    <w:rsid w:val="00E3001C"/>
    <w:rsid w:val="00E3147E"/>
    <w:rsid w:val="00E3413F"/>
    <w:rsid w:val="00E3450D"/>
    <w:rsid w:val="00E3781B"/>
    <w:rsid w:val="00E37F00"/>
    <w:rsid w:val="00E40163"/>
    <w:rsid w:val="00E40953"/>
    <w:rsid w:val="00E41920"/>
    <w:rsid w:val="00E430E9"/>
    <w:rsid w:val="00E44514"/>
    <w:rsid w:val="00E44F3F"/>
    <w:rsid w:val="00E45396"/>
    <w:rsid w:val="00E45FA3"/>
    <w:rsid w:val="00E46120"/>
    <w:rsid w:val="00E46F5C"/>
    <w:rsid w:val="00E47B2D"/>
    <w:rsid w:val="00E501D9"/>
    <w:rsid w:val="00E50682"/>
    <w:rsid w:val="00E50783"/>
    <w:rsid w:val="00E526CE"/>
    <w:rsid w:val="00E53EE0"/>
    <w:rsid w:val="00E54E25"/>
    <w:rsid w:val="00E556E6"/>
    <w:rsid w:val="00E5666E"/>
    <w:rsid w:val="00E570E2"/>
    <w:rsid w:val="00E57198"/>
    <w:rsid w:val="00E57D24"/>
    <w:rsid w:val="00E61065"/>
    <w:rsid w:val="00E64441"/>
    <w:rsid w:val="00E668D4"/>
    <w:rsid w:val="00E67708"/>
    <w:rsid w:val="00E67B9B"/>
    <w:rsid w:val="00E67C9E"/>
    <w:rsid w:val="00E71DB6"/>
    <w:rsid w:val="00E7242B"/>
    <w:rsid w:val="00E73208"/>
    <w:rsid w:val="00E73D8A"/>
    <w:rsid w:val="00E7452F"/>
    <w:rsid w:val="00E74EC3"/>
    <w:rsid w:val="00E75A13"/>
    <w:rsid w:val="00E773C0"/>
    <w:rsid w:val="00E7752E"/>
    <w:rsid w:val="00E77CD8"/>
    <w:rsid w:val="00E81C23"/>
    <w:rsid w:val="00E82001"/>
    <w:rsid w:val="00E82CFB"/>
    <w:rsid w:val="00E82EA3"/>
    <w:rsid w:val="00E84B54"/>
    <w:rsid w:val="00E85798"/>
    <w:rsid w:val="00E86001"/>
    <w:rsid w:val="00E866CE"/>
    <w:rsid w:val="00E872EC"/>
    <w:rsid w:val="00E9090A"/>
    <w:rsid w:val="00E911CE"/>
    <w:rsid w:val="00E914C1"/>
    <w:rsid w:val="00E92F0A"/>
    <w:rsid w:val="00E9595C"/>
    <w:rsid w:val="00E96A62"/>
    <w:rsid w:val="00E96F14"/>
    <w:rsid w:val="00E973CD"/>
    <w:rsid w:val="00E97852"/>
    <w:rsid w:val="00EA01F0"/>
    <w:rsid w:val="00EA03CC"/>
    <w:rsid w:val="00EA145B"/>
    <w:rsid w:val="00EA41DA"/>
    <w:rsid w:val="00EA4602"/>
    <w:rsid w:val="00EA580E"/>
    <w:rsid w:val="00EA795B"/>
    <w:rsid w:val="00EB0A48"/>
    <w:rsid w:val="00EB31B3"/>
    <w:rsid w:val="00EB3F83"/>
    <w:rsid w:val="00EB5850"/>
    <w:rsid w:val="00EC1262"/>
    <w:rsid w:val="00EC2BF4"/>
    <w:rsid w:val="00EC30F2"/>
    <w:rsid w:val="00EC3288"/>
    <w:rsid w:val="00EC3642"/>
    <w:rsid w:val="00ED1893"/>
    <w:rsid w:val="00ED3C03"/>
    <w:rsid w:val="00ED5847"/>
    <w:rsid w:val="00ED6EC3"/>
    <w:rsid w:val="00ED7FB2"/>
    <w:rsid w:val="00EE10A3"/>
    <w:rsid w:val="00EE18B3"/>
    <w:rsid w:val="00EE2AF2"/>
    <w:rsid w:val="00EE314A"/>
    <w:rsid w:val="00EE3C9B"/>
    <w:rsid w:val="00EE3D15"/>
    <w:rsid w:val="00EE6572"/>
    <w:rsid w:val="00EE6A64"/>
    <w:rsid w:val="00EE7756"/>
    <w:rsid w:val="00EE779D"/>
    <w:rsid w:val="00EE7B2F"/>
    <w:rsid w:val="00EF1B46"/>
    <w:rsid w:val="00EF1C9B"/>
    <w:rsid w:val="00EF3779"/>
    <w:rsid w:val="00EF3BCF"/>
    <w:rsid w:val="00EF415A"/>
    <w:rsid w:val="00EF418C"/>
    <w:rsid w:val="00EF4F5C"/>
    <w:rsid w:val="00EF5433"/>
    <w:rsid w:val="00EF55E2"/>
    <w:rsid w:val="00EF598A"/>
    <w:rsid w:val="00EF5AA9"/>
    <w:rsid w:val="00EF5AE6"/>
    <w:rsid w:val="00EF5DAF"/>
    <w:rsid w:val="00EF6373"/>
    <w:rsid w:val="00EF6787"/>
    <w:rsid w:val="00EF7229"/>
    <w:rsid w:val="00EF74A9"/>
    <w:rsid w:val="00EF76E4"/>
    <w:rsid w:val="00EF7C7C"/>
    <w:rsid w:val="00EF7D52"/>
    <w:rsid w:val="00F00C9D"/>
    <w:rsid w:val="00F00E89"/>
    <w:rsid w:val="00F00E99"/>
    <w:rsid w:val="00F0167E"/>
    <w:rsid w:val="00F01F81"/>
    <w:rsid w:val="00F03DAA"/>
    <w:rsid w:val="00F0414F"/>
    <w:rsid w:val="00F05391"/>
    <w:rsid w:val="00F064B5"/>
    <w:rsid w:val="00F06724"/>
    <w:rsid w:val="00F06A4B"/>
    <w:rsid w:val="00F10BA0"/>
    <w:rsid w:val="00F10D6E"/>
    <w:rsid w:val="00F111B9"/>
    <w:rsid w:val="00F12772"/>
    <w:rsid w:val="00F1373C"/>
    <w:rsid w:val="00F13C46"/>
    <w:rsid w:val="00F146ED"/>
    <w:rsid w:val="00F15FE1"/>
    <w:rsid w:val="00F17835"/>
    <w:rsid w:val="00F2024C"/>
    <w:rsid w:val="00F212AB"/>
    <w:rsid w:val="00F2147A"/>
    <w:rsid w:val="00F21EFA"/>
    <w:rsid w:val="00F22898"/>
    <w:rsid w:val="00F24750"/>
    <w:rsid w:val="00F249E3"/>
    <w:rsid w:val="00F24AC5"/>
    <w:rsid w:val="00F24CCC"/>
    <w:rsid w:val="00F26C8B"/>
    <w:rsid w:val="00F27C9F"/>
    <w:rsid w:val="00F30CB2"/>
    <w:rsid w:val="00F30CE8"/>
    <w:rsid w:val="00F31FAC"/>
    <w:rsid w:val="00F327EA"/>
    <w:rsid w:val="00F32E96"/>
    <w:rsid w:val="00F3330D"/>
    <w:rsid w:val="00F35454"/>
    <w:rsid w:val="00F36D72"/>
    <w:rsid w:val="00F403F3"/>
    <w:rsid w:val="00F4379B"/>
    <w:rsid w:val="00F453DF"/>
    <w:rsid w:val="00F45A46"/>
    <w:rsid w:val="00F46CFC"/>
    <w:rsid w:val="00F46D06"/>
    <w:rsid w:val="00F4710E"/>
    <w:rsid w:val="00F503E9"/>
    <w:rsid w:val="00F50BBD"/>
    <w:rsid w:val="00F50E43"/>
    <w:rsid w:val="00F51EDF"/>
    <w:rsid w:val="00F53FDE"/>
    <w:rsid w:val="00F5434C"/>
    <w:rsid w:val="00F570D4"/>
    <w:rsid w:val="00F574C5"/>
    <w:rsid w:val="00F57A4C"/>
    <w:rsid w:val="00F57AFD"/>
    <w:rsid w:val="00F57CC6"/>
    <w:rsid w:val="00F57EA0"/>
    <w:rsid w:val="00F57FE1"/>
    <w:rsid w:val="00F61234"/>
    <w:rsid w:val="00F612B9"/>
    <w:rsid w:val="00F622D4"/>
    <w:rsid w:val="00F6500C"/>
    <w:rsid w:val="00F656BA"/>
    <w:rsid w:val="00F66981"/>
    <w:rsid w:val="00F7130A"/>
    <w:rsid w:val="00F71727"/>
    <w:rsid w:val="00F72A82"/>
    <w:rsid w:val="00F73389"/>
    <w:rsid w:val="00F7366E"/>
    <w:rsid w:val="00F7435B"/>
    <w:rsid w:val="00F74831"/>
    <w:rsid w:val="00F76BE3"/>
    <w:rsid w:val="00F76DE1"/>
    <w:rsid w:val="00F80CFF"/>
    <w:rsid w:val="00F82442"/>
    <w:rsid w:val="00F82B47"/>
    <w:rsid w:val="00F834FD"/>
    <w:rsid w:val="00F83B78"/>
    <w:rsid w:val="00F83F01"/>
    <w:rsid w:val="00F84069"/>
    <w:rsid w:val="00F8436B"/>
    <w:rsid w:val="00F8451D"/>
    <w:rsid w:val="00F865C4"/>
    <w:rsid w:val="00F8666C"/>
    <w:rsid w:val="00F86AC7"/>
    <w:rsid w:val="00F919C9"/>
    <w:rsid w:val="00F9212B"/>
    <w:rsid w:val="00F92924"/>
    <w:rsid w:val="00F929A2"/>
    <w:rsid w:val="00F962C6"/>
    <w:rsid w:val="00F963F1"/>
    <w:rsid w:val="00F966E8"/>
    <w:rsid w:val="00FA05B6"/>
    <w:rsid w:val="00FA0675"/>
    <w:rsid w:val="00FA0853"/>
    <w:rsid w:val="00FA0C45"/>
    <w:rsid w:val="00FA1015"/>
    <w:rsid w:val="00FA17D1"/>
    <w:rsid w:val="00FA1E2A"/>
    <w:rsid w:val="00FA27B5"/>
    <w:rsid w:val="00FA2A18"/>
    <w:rsid w:val="00FA45F9"/>
    <w:rsid w:val="00FA7303"/>
    <w:rsid w:val="00FA736B"/>
    <w:rsid w:val="00FA7B74"/>
    <w:rsid w:val="00FB0144"/>
    <w:rsid w:val="00FB0460"/>
    <w:rsid w:val="00FB1430"/>
    <w:rsid w:val="00FB1948"/>
    <w:rsid w:val="00FB220D"/>
    <w:rsid w:val="00FB2522"/>
    <w:rsid w:val="00FB2730"/>
    <w:rsid w:val="00FB3773"/>
    <w:rsid w:val="00FB3BED"/>
    <w:rsid w:val="00FB3DBA"/>
    <w:rsid w:val="00FB5345"/>
    <w:rsid w:val="00FB5951"/>
    <w:rsid w:val="00FB7126"/>
    <w:rsid w:val="00FB72D9"/>
    <w:rsid w:val="00FB785A"/>
    <w:rsid w:val="00FC2A42"/>
    <w:rsid w:val="00FC2A67"/>
    <w:rsid w:val="00FC311B"/>
    <w:rsid w:val="00FC536F"/>
    <w:rsid w:val="00FC60E1"/>
    <w:rsid w:val="00FC69EE"/>
    <w:rsid w:val="00FC6EFA"/>
    <w:rsid w:val="00FC747B"/>
    <w:rsid w:val="00FD0FCC"/>
    <w:rsid w:val="00FD16D5"/>
    <w:rsid w:val="00FD25EA"/>
    <w:rsid w:val="00FD34AF"/>
    <w:rsid w:val="00FD5054"/>
    <w:rsid w:val="00FD7AF5"/>
    <w:rsid w:val="00FE1162"/>
    <w:rsid w:val="00FE118D"/>
    <w:rsid w:val="00FE1B98"/>
    <w:rsid w:val="00FE24D4"/>
    <w:rsid w:val="00FE2692"/>
    <w:rsid w:val="00FE3241"/>
    <w:rsid w:val="00FE3629"/>
    <w:rsid w:val="00FE3B53"/>
    <w:rsid w:val="00FE4AFB"/>
    <w:rsid w:val="00FE532C"/>
    <w:rsid w:val="00FE651A"/>
    <w:rsid w:val="00FE6CC7"/>
    <w:rsid w:val="00FE6DF0"/>
    <w:rsid w:val="00FF0A04"/>
    <w:rsid w:val="00FF10D9"/>
    <w:rsid w:val="00FF128C"/>
    <w:rsid w:val="00FF271F"/>
    <w:rsid w:val="00FF359A"/>
    <w:rsid w:val="00FF3CFD"/>
    <w:rsid w:val="00FF43B0"/>
    <w:rsid w:val="00FF4CBC"/>
    <w:rsid w:val="00FF5AC0"/>
    <w:rsid w:val="00FF66BF"/>
    <w:rsid w:val="00FF6E99"/>
    <w:rsid w:val="013F9F82"/>
    <w:rsid w:val="0166FF16"/>
    <w:rsid w:val="01D663D4"/>
    <w:rsid w:val="02296F35"/>
    <w:rsid w:val="034C5994"/>
    <w:rsid w:val="0470126F"/>
    <w:rsid w:val="057E0F0E"/>
    <w:rsid w:val="063CC583"/>
    <w:rsid w:val="06D5A389"/>
    <w:rsid w:val="074D2F80"/>
    <w:rsid w:val="08BB263D"/>
    <w:rsid w:val="09A2A58C"/>
    <w:rsid w:val="0A02F6E8"/>
    <w:rsid w:val="0A072510"/>
    <w:rsid w:val="0A93D20B"/>
    <w:rsid w:val="0B287BD8"/>
    <w:rsid w:val="0B4E19AF"/>
    <w:rsid w:val="0BED712B"/>
    <w:rsid w:val="0C792F27"/>
    <w:rsid w:val="0D3196E4"/>
    <w:rsid w:val="0DB1E150"/>
    <w:rsid w:val="0E2B6A01"/>
    <w:rsid w:val="0E6AFE7D"/>
    <w:rsid w:val="0E70F3EF"/>
    <w:rsid w:val="0FB02137"/>
    <w:rsid w:val="10B297E1"/>
    <w:rsid w:val="11096EB4"/>
    <w:rsid w:val="14443473"/>
    <w:rsid w:val="1471F2DC"/>
    <w:rsid w:val="148EEDD9"/>
    <w:rsid w:val="14B89F5B"/>
    <w:rsid w:val="15F3D67B"/>
    <w:rsid w:val="164A7161"/>
    <w:rsid w:val="16F8731C"/>
    <w:rsid w:val="17CE1C9E"/>
    <w:rsid w:val="18163ABB"/>
    <w:rsid w:val="18BF4BE8"/>
    <w:rsid w:val="1967269E"/>
    <w:rsid w:val="1999B181"/>
    <w:rsid w:val="19E2CBBD"/>
    <w:rsid w:val="1A320C4B"/>
    <w:rsid w:val="1B802EE9"/>
    <w:rsid w:val="1BD6F827"/>
    <w:rsid w:val="1BD85248"/>
    <w:rsid w:val="1D27C4D9"/>
    <w:rsid w:val="1D7EE4BF"/>
    <w:rsid w:val="1DEBEACE"/>
    <w:rsid w:val="1DF3AD37"/>
    <w:rsid w:val="1E00FA76"/>
    <w:rsid w:val="1E1654ED"/>
    <w:rsid w:val="1F57DE56"/>
    <w:rsid w:val="224385F2"/>
    <w:rsid w:val="225F2797"/>
    <w:rsid w:val="22A82FDE"/>
    <w:rsid w:val="22D31918"/>
    <w:rsid w:val="236EB7CD"/>
    <w:rsid w:val="24D4966F"/>
    <w:rsid w:val="24FE0BB3"/>
    <w:rsid w:val="25F357E5"/>
    <w:rsid w:val="26194776"/>
    <w:rsid w:val="267408D0"/>
    <w:rsid w:val="26C90CA1"/>
    <w:rsid w:val="2756A8EC"/>
    <w:rsid w:val="27AB93C2"/>
    <w:rsid w:val="28494906"/>
    <w:rsid w:val="2922532C"/>
    <w:rsid w:val="29E061C9"/>
    <w:rsid w:val="2A8C5D87"/>
    <w:rsid w:val="2B9FAC63"/>
    <w:rsid w:val="2CD72451"/>
    <w:rsid w:val="2D3DEF08"/>
    <w:rsid w:val="2DB1DCB2"/>
    <w:rsid w:val="2E9BA482"/>
    <w:rsid w:val="2F2F15A9"/>
    <w:rsid w:val="312FF8BA"/>
    <w:rsid w:val="318EB2FC"/>
    <w:rsid w:val="31CD8931"/>
    <w:rsid w:val="32EAC234"/>
    <w:rsid w:val="331FD071"/>
    <w:rsid w:val="33255959"/>
    <w:rsid w:val="33301303"/>
    <w:rsid w:val="34B892B3"/>
    <w:rsid w:val="35542AA7"/>
    <w:rsid w:val="36088A44"/>
    <w:rsid w:val="36BE81E9"/>
    <w:rsid w:val="36D41BB7"/>
    <w:rsid w:val="379A7485"/>
    <w:rsid w:val="385291E3"/>
    <w:rsid w:val="39B4BF74"/>
    <w:rsid w:val="3A810AE9"/>
    <w:rsid w:val="3BEE4D29"/>
    <w:rsid w:val="3C629860"/>
    <w:rsid w:val="3C9B1657"/>
    <w:rsid w:val="3D4F10D8"/>
    <w:rsid w:val="3D53954E"/>
    <w:rsid w:val="3DB4EC23"/>
    <w:rsid w:val="3E78E8EE"/>
    <w:rsid w:val="3E94720A"/>
    <w:rsid w:val="3ECDB575"/>
    <w:rsid w:val="3F13E2AC"/>
    <w:rsid w:val="4060D280"/>
    <w:rsid w:val="406C24C7"/>
    <w:rsid w:val="40B570AF"/>
    <w:rsid w:val="41B1535A"/>
    <w:rsid w:val="42117645"/>
    <w:rsid w:val="426ECB48"/>
    <w:rsid w:val="42C58CA3"/>
    <w:rsid w:val="437DE6A1"/>
    <w:rsid w:val="44ACB3A5"/>
    <w:rsid w:val="44C7606F"/>
    <w:rsid w:val="45A2DDBB"/>
    <w:rsid w:val="45C5DC16"/>
    <w:rsid w:val="467CA521"/>
    <w:rsid w:val="46D53845"/>
    <w:rsid w:val="47809FB2"/>
    <w:rsid w:val="47E8E064"/>
    <w:rsid w:val="48B04AF6"/>
    <w:rsid w:val="49721CDC"/>
    <w:rsid w:val="497C6195"/>
    <w:rsid w:val="4A5A5AB7"/>
    <w:rsid w:val="4AB192DA"/>
    <w:rsid w:val="4B4F130B"/>
    <w:rsid w:val="4B8764EF"/>
    <w:rsid w:val="4BF10BD6"/>
    <w:rsid w:val="4C38C54C"/>
    <w:rsid w:val="4F2D2DA4"/>
    <w:rsid w:val="51000ABA"/>
    <w:rsid w:val="5106079D"/>
    <w:rsid w:val="51554061"/>
    <w:rsid w:val="515A4DBF"/>
    <w:rsid w:val="540EE541"/>
    <w:rsid w:val="55EB25D3"/>
    <w:rsid w:val="5753381A"/>
    <w:rsid w:val="592E4EBE"/>
    <w:rsid w:val="594CAD49"/>
    <w:rsid w:val="5A543D97"/>
    <w:rsid w:val="5A745660"/>
    <w:rsid w:val="5A9FD9E3"/>
    <w:rsid w:val="5D0F53CF"/>
    <w:rsid w:val="5D28B0FC"/>
    <w:rsid w:val="5D6FD6BE"/>
    <w:rsid w:val="5DA34ABC"/>
    <w:rsid w:val="5DC9D2BD"/>
    <w:rsid w:val="5ECD9E57"/>
    <w:rsid w:val="5F6DEE31"/>
    <w:rsid w:val="60F58EBF"/>
    <w:rsid w:val="6104DF9D"/>
    <w:rsid w:val="61368D1D"/>
    <w:rsid w:val="6242C383"/>
    <w:rsid w:val="627025AC"/>
    <w:rsid w:val="63413D52"/>
    <w:rsid w:val="6379D46F"/>
    <w:rsid w:val="6547C8D8"/>
    <w:rsid w:val="6619CEEF"/>
    <w:rsid w:val="66864F97"/>
    <w:rsid w:val="67CC0FBE"/>
    <w:rsid w:val="681B84F8"/>
    <w:rsid w:val="68B96B75"/>
    <w:rsid w:val="6933BE2A"/>
    <w:rsid w:val="693A500E"/>
    <w:rsid w:val="6B0C661E"/>
    <w:rsid w:val="6B597B9D"/>
    <w:rsid w:val="6BF3AEC2"/>
    <w:rsid w:val="6D9B6330"/>
    <w:rsid w:val="6EE91B78"/>
    <w:rsid w:val="6F30D86C"/>
    <w:rsid w:val="70CF726E"/>
    <w:rsid w:val="73E10BF3"/>
    <w:rsid w:val="7497C68C"/>
    <w:rsid w:val="74D8F7BB"/>
    <w:rsid w:val="755C5436"/>
    <w:rsid w:val="75B450DD"/>
    <w:rsid w:val="75FC8FFD"/>
    <w:rsid w:val="76D04F03"/>
    <w:rsid w:val="76DB7147"/>
    <w:rsid w:val="793B36D3"/>
    <w:rsid w:val="7B01422F"/>
    <w:rsid w:val="7C60319B"/>
    <w:rsid w:val="7CEF30B9"/>
    <w:rsid w:val="7D04B525"/>
    <w:rsid w:val="7D755E40"/>
    <w:rsid w:val="7DF41ED3"/>
    <w:rsid w:val="7E6F9B49"/>
    <w:rsid w:val="7EAC6AF9"/>
    <w:rsid w:val="7F1A0697"/>
    <w:rsid w:val="7F36C0BE"/>
    <w:rsid w:val="7F7DE948"/>
    <w:rsid w:val="7FD710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8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A6"/>
  </w:style>
  <w:style w:type="paragraph" w:styleId="Balk1">
    <w:name w:val="heading 1"/>
    <w:basedOn w:val="Normal"/>
    <w:next w:val="Normal"/>
    <w:link w:val="Balk1Char"/>
    <w:uiPriority w:val="9"/>
    <w:qFormat/>
    <w:rsid w:val="00512C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512C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eParagrafChar"/>
    <w:uiPriority w:val="34"/>
    <w:qFormat/>
    <w:rsid w:val="000364C0"/>
    <w:pPr>
      <w:ind w:left="720"/>
      <w:contextualSpacing/>
    </w:pPr>
  </w:style>
  <w:style w:type="character" w:styleId="AklamaBavurusu">
    <w:name w:val="annotation reference"/>
    <w:basedOn w:val="VarsaylanParagrafYazTipi"/>
    <w:uiPriority w:val="99"/>
    <w:semiHidden/>
    <w:unhideWhenUsed/>
    <w:rsid w:val="00E45FA3"/>
    <w:rPr>
      <w:sz w:val="16"/>
      <w:szCs w:val="16"/>
    </w:rPr>
  </w:style>
  <w:style w:type="paragraph" w:styleId="AklamaMetni">
    <w:name w:val="annotation text"/>
    <w:basedOn w:val="Normal"/>
    <w:link w:val="AklamaMetniChar"/>
    <w:uiPriority w:val="99"/>
    <w:unhideWhenUsed/>
    <w:rsid w:val="00E45FA3"/>
    <w:pPr>
      <w:spacing w:line="240" w:lineRule="auto"/>
    </w:pPr>
    <w:rPr>
      <w:sz w:val="20"/>
      <w:szCs w:val="20"/>
    </w:rPr>
  </w:style>
  <w:style w:type="character" w:customStyle="1" w:styleId="AklamaMetniChar">
    <w:name w:val="Açıklama Metni Char"/>
    <w:basedOn w:val="VarsaylanParagrafYazTipi"/>
    <w:link w:val="AklamaMetni"/>
    <w:uiPriority w:val="99"/>
    <w:rsid w:val="00E45FA3"/>
    <w:rPr>
      <w:sz w:val="20"/>
      <w:szCs w:val="20"/>
    </w:rPr>
  </w:style>
  <w:style w:type="paragraph" w:styleId="AklamaKonusu">
    <w:name w:val="annotation subject"/>
    <w:basedOn w:val="AklamaMetni"/>
    <w:next w:val="AklamaMetni"/>
    <w:link w:val="AklamaKonusuChar"/>
    <w:uiPriority w:val="99"/>
    <w:semiHidden/>
    <w:unhideWhenUsed/>
    <w:rsid w:val="00E45FA3"/>
    <w:rPr>
      <w:b/>
      <w:bCs/>
    </w:rPr>
  </w:style>
  <w:style w:type="character" w:customStyle="1" w:styleId="AklamaKonusuChar">
    <w:name w:val="Açıklama Konusu Char"/>
    <w:basedOn w:val="AklamaMetniChar"/>
    <w:link w:val="AklamaKonusu"/>
    <w:uiPriority w:val="99"/>
    <w:semiHidden/>
    <w:rsid w:val="00E45FA3"/>
    <w:rPr>
      <w:b/>
      <w:bCs/>
      <w:sz w:val="20"/>
      <w:szCs w:val="20"/>
    </w:rPr>
  </w:style>
  <w:style w:type="paragraph" w:styleId="BalonMetni">
    <w:name w:val="Balloon Text"/>
    <w:basedOn w:val="Normal"/>
    <w:link w:val="BalonMetniChar"/>
    <w:uiPriority w:val="99"/>
    <w:semiHidden/>
    <w:unhideWhenUsed/>
    <w:rsid w:val="00E45F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5FA3"/>
    <w:rPr>
      <w:rFonts w:ascii="Segoe UI" w:hAnsi="Segoe UI" w:cs="Segoe UI"/>
      <w:sz w:val="18"/>
      <w:szCs w:val="18"/>
    </w:rPr>
  </w:style>
  <w:style w:type="paragraph" w:styleId="DipnotMetni">
    <w:name w:val="footnote text"/>
    <w:aliases w:val="Fußnote,Footnote Text Char Char Char,Footnote Text Char Char,single space,Fußnotentextf,Footnote text,fn,Schriftart: 9 pt,Schriftart: 10 pt,Schriftart: 8 pt,WB-Fußnotentext,footnote text Carattere,Geneva 9,Font: Geneva 9"/>
    <w:basedOn w:val="Normal"/>
    <w:link w:val="DipnotMetniChar"/>
    <w:uiPriority w:val="99"/>
    <w:unhideWhenUsed/>
    <w:qFormat/>
    <w:rsid w:val="00F919C9"/>
    <w:pPr>
      <w:spacing w:after="0" w:line="240" w:lineRule="auto"/>
    </w:pPr>
    <w:rPr>
      <w:sz w:val="20"/>
      <w:szCs w:val="20"/>
    </w:rPr>
  </w:style>
  <w:style w:type="character" w:customStyle="1" w:styleId="DipnotMetniChar">
    <w:name w:val="Dipnot Metni Char"/>
    <w:aliases w:val="Fußnote Char1,Footnote Text Char Char Char Char1,Footnote Text Char Char Char2,single space Char1,Fußnotentextf Char1,Footnote text Char1,fn Char1,Schriftart: 9 pt Char1,Schriftart: 10 pt Char1,Schriftart: 8 pt Char1,Geneva 9 Char"/>
    <w:basedOn w:val="VarsaylanParagrafYazTipi"/>
    <w:link w:val="DipnotMetni"/>
    <w:uiPriority w:val="99"/>
    <w:rsid w:val="00F919C9"/>
    <w:rPr>
      <w:sz w:val="20"/>
      <w:szCs w:val="20"/>
    </w:rPr>
  </w:style>
  <w:style w:type="character" w:styleId="DipnotBavurusu">
    <w:name w:val="footnote reference"/>
    <w:aliases w:val="BVI fnr,Footnote symbol,Footnote reference number,Times 10 Point,Exposant 3 Point,Ref,de nota al pie,note TESI,SUPERS,EN Footnote Reference,EN Footnote text,Voetnootverwijzing,Appel note de bas de p,ftref,11 pt,Blac,16 Point,Footnote"/>
    <w:basedOn w:val="VarsaylanParagrafYazTipi"/>
    <w:uiPriority w:val="99"/>
    <w:unhideWhenUsed/>
    <w:qFormat/>
    <w:rsid w:val="00F919C9"/>
    <w:rPr>
      <w:vertAlign w:val="superscript"/>
    </w:rPr>
  </w:style>
  <w:style w:type="paragraph" w:styleId="Dzeltme">
    <w:name w:val="Revision"/>
    <w:hidden/>
    <w:uiPriority w:val="99"/>
    <w:semiHidden/>
    <w:rsid w:val="00586FCC"/>
    <w:pPr>
      <w:spacing w:after="0" w:line="240" w:lineRule="auto"/>
    </w:pPr>
  </w:style>
  <w:style w:type="paragraph" w:customStyle="1" w:styleId="NormalConseil">
    <w:name w:val="NormalConseil"/>
    <w:basedOn w:val="Normal"/>
    <w:rsid w:val="002802B7"/>
    <w:pPr>
      <w:spacing w:after="0" w:line="240" w:lineRule="auto"/>
    </w:pPr>
    <w:rPr>
      <w:rFonts w:ascii="Times New Roman" w:hAnsi="Times New Roman" w:cs="Times New Roman"/>
      <w:sz w:val="24"/>
      <w:szCs w:val="24"/>
      <w:lang w:eastAsia="en-GB"/>
    </w:rPr>
  </w:style>
  <w:style w:type="paragraph" w:customStyle="1" w:styleId="Default">
    <w:name w:val="Default"/>
    <w:rsid w:val="00384769"/>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stbilgi">
    <w:name w:val="header"/>
    <w:basedOn w:val="Normal"/>
    <w:link w:val="stbilgiChar"/>
    <w:uiPriority w:val="99"/>
    <w:unhideWhenUsed/>
    <w:rsid w:val="00E0058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00585"/>
  </w:style>
  <w:style w:type="paragraph" w:styleId="Altbilgi">
    <w:name w:val="footer"/>
    <w:basedOn w:val="Normal"/>
    <w:link w:val="AltbilgiChar"/>
    <w:uiPriority w:val="99"/>
    <w:unhideWhenUsed/>
    <w:rsid w:val="00E0058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00585"/>
  </w:style>
  <w:style w:type="character" w:customStyle="1" w:styleId="ListeParagrafChar">
    <w:name w:val="Liste Paragraf Char"/>
    <w:aliases w:val="Table/Figure Heading Char,Colorful List - Accent 11 Char,Dot pt Char,F5 List Paragraph Char,List Paragraph1 Char,No Spacing1 Char,List Paragraph Char Char Char Char,Indicator Text Char,Numbered Para 1 Char,Bullet 1 Char,L Char"/>
    <w:link w:val="ListeParagraf"/>
    <w:uiPriority w:val="34"/>
    <w:qFormat/>
    <w:locked/>
    <w:rsid w:val="000D3EE3"/>
  </w:style>
  <w:style w:type="character" w:styleId="SayfaNumaras">
    <w:name w:val="page number"/>
    <w:basedOn w:val="VarsaylanParagrafYazTipi"/>
    <w:uiPriority w:val="99"/>
    <w:semiHidden/>
    <w:unhideWhenUsed/>
    <w:rsid w:val="00F0167E"/>
  </w:style>
  <w:style w:type="table" w:styleId="TabloKlavuzu">
    <w:name w:val="Table Grid"/>
    <w:aliases w:val="Document Table"/>
    <w:basedOn w:val="NormalTablo"/>
    <w:uiPriority w:val="59"/>
    <w:rsid w:val="007C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ußnote Char,Footnote Text Char Char1,Footnote Text Char Char Char Char,Footnote Text Char Char Char1,single space Char,Fußnotentextf Char,Footnote text Char,fn Char,Schriftart: 9 pt Char,Schriftart: 10 pt Char,Schriftart: 8 pt Char"/>
    <w:uiPriority w:val="99"/>
    <w:rsid w:val="00161026"/>
    <w:rPr>
      <w:rFonts w:ascii="Times New Roman" w:hAnsi="Times New Roman"/>
    </w:rPr>
  </w:style>
  <w:style w:type="character" w:styleId="Kpr">
    <w:name w:val="Hyperlink"/>
    <w:basedOn w:val="VarsaylanParagrafYazTipi"/>
    <w:uiPriority w:val="99"/>
    <w:unhideWhenUsed/>
    <w:rsid w:val="007168ED"/>
    <w:rPr>
      <w:color w:val="0000FF" w:themeColor="hyperlink"/>
      <w:u w:val="single"/>
    </w:rPr>
  </w:style>
  <w:style w:type="character" w:styleId="Vurgu">
    <w:name w:val="Emphasis"/>
    <w:basedOn w:val="VarsaylanParagrafYazTipi"/>
    <w:uiPriority w:val="20"/>
    <w:qFormat/>
    <w:rsid w:val="00AB7115"/>
    <w:rPr>
      <w:b/>
      <w:bCs/>
      <w:i w:val="0"/>
      <w:iCs w:val="0"/>
    </w:rPr>
  </w:style>
  <w:style w:type="character" w:customStyle="1" w:styleId="st1">
    <w:name w:val="st1"/>
    <w:basedOn w:val="VarsaylanParagrafYazTipi"/>
    <w:rsid w:val="00AB7115"/>
  </w:style>
  <w:style w:type="paragraph" w:styleId="NormalWeb">
    <w:name w:val="Normal (Web)"/>
    <w:basedOn w:val="Normal"/>
    <w:uiPriority w:val="99"/>
    <w:semiHidden/>
    <w:unhideWhenUsed/>
    <w:rsid w:val="002D01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simYazs">
    <w:name w:val="caption"/>
    <w:basedOn w:val="Normal"/>
    <w:next w:val="Normal"/>
    <w:uiPriority w:val="35"/>
    <w:semiHidden/>
    <w:unhideWhenUsed/>
    <w:qFormat/>
    <w:rsid w:val="00E5666E"/>
    <w:pPr>
      <w:spacing w:line="240" w:lineRule="auto"/>
    </w:pPr>
    <w:rPr>
      <w:i/>
      <w:iCs/>
      <w:color w:val="1F497D" w:themeColor="text2"/>
      <w:sz w:val="18"/>
      <w:szCs w:val="18"/>
    </w:rPr>
  </w:style>
  <w:style w:type="numbering" w:customStyle="1" w:styleId="NoList1">
    <w:name w:val="No List1"/>
    <w:next w:val="ListeYok"/>
    <w:uiPriority w:val="99"/>
    <w:semiHidden/>
    <w:unhideWhenUsed/>
    <w:rsid w:val="005742F9"/>
  </w:style>
  <w:style w:type="table" w:customStyle="1" w:styleId="TableGrid1">
    <w:name w:val="Table Grid1"/>
    <w:basedOn w:val="NormalTablo"/>
    <w:next w:val="TabloKlavuzu"/>
    <w:uiPriority w:val="59"/>
    <w:rsid w:val="00574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uiPriority w:val="39"/>
    <w:rsid w:val="00475E76"/>
    <w:pPr>
      <w:tabs>
        <w:tab w:val="right" w:leader="dot" w:pos="8640"/>
      </w:tabs>
      <w:spacing w:before="120" w:after="120" w:line="240" w:lineRule="auto"/>
      <w:ind w:left="482" w:right="720" w:hanging="482"/>
      <w:jc w:val="both"/>
    </w:pPr>
    <w:rPr>
      <w:rFonts w:ascii="Verdana" w:eastAsia="Times New Roman" w:hAnsi="Verdana" w:cs="Times New Roman"/>
      <w:caps/>
      <w:sz w:val="18"/>
      <w:szCs w:val="20"/>
      <w:lang w:val="fr-FR"/>
    </w:rPr>
  </w:style>
  <w:style w:type="paragraph" w:styleId="T2">
    <w:name w:val="toc 2"/>
    <w:basedOn w:val="Normal"/>
    <w:next w:val="Normal"/>
    <w:uiPriority w:val="39"/>
    <w:rsid w:val="00475E76"/>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customStyle="1" w:styleId="ZCom">
    <w:name w:val="Z_Com"/>
    <w:basedOn w:val="Normal"/>
    <w:next w:val="ZDGName"/>
    <w:rsid w:val="00475E76"/>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rsid w:val="00475E76"/>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DocumentTitle">
    <w:name w:val="Document Title"/>
    <w:basedOn w:val="Normal"/>
    <w:link w:val="DocumentTitleChar"/>
    <w:qFormat/>
    <w:rsid w:val="00475E76"/>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475E76"/>
    <w:rPr>
      <w:rFonts w:ascii="Verdana" w:eastAsia="Times New Roman" w:hAnsi="Verdana" w:cs="Times New Roman"/>
      <w:b/>
      <w:sz w:val="52"/>
      <w:szCs w:val="20"/>
      <w:lang w:val="fr-FR"/>
    </w:rPr>
  </w:style>
  <w:style w:type="paragraph" w:customStyle="1" w:styleId="FooterDate">
    <w:name w:val="Footer Date"/>
    <w:basedOn w:val="Altbilgi"/>
    <w:link w:val="FooterDateChar"/>
    <w:rsid w:val="00475E76"/>
    <w:pPr>
      <w:tabs>
        <w:tab w:val="clear" w:pos="4513"/>
        <w:tab w:val="clear" w:pos="9026"/>
        <w:tab w:val="right" w:pos="9240"/>
      </w:tabs>
      <w:ind w:right="-567"/>
    </w:pPr>
    <w:rPr>
      <w:rFonts w:ascii="Verdana" w:eastAsia="Times New Roman" w:hAnsi="Verdana" w:cs="Times New Roman"/>
      <w:sz w:val="16"/>
      <w:szCs w:val="20"/>
      <w:lang w:val="it-IT"/>
    </w:rPr>
  </w:style>
  <w:style w:type="character" w:customStyle="1" w:styleId="FooterDateChar">
    <w:name w:val="Footer Date Char"/>
    <w:link w:val="FooterDate"/>
    <w:rsid w:val="00475E76"/>
    <w:rPr>
      <w:rFonts w:ascii="Verdana" w:eastAsia="Times New Roman" w:hAnsi="Verdana" w:cs="Times New Roman"/>
      <w:sz w:val="16"/>
      <w:szCs w:val="20"/>
      <w:lang w:val="it-IT"/>
    </w:rPr>
  </w:style>
  <w:style w:type="paragraph" w:customStyle="1" w:styleId="DocumentSubtitle">
    <w:name w:val="Document Subtitle"/>
    <w:basedOn w:val="DocumentTitle"/>
    <w:link w:val="DocumentSubtitleChar"/>
    <w:qFormat/>
    <w:rsid w:val="00475E76"/>
    <w:rPr>
      <w:b w:val="0"/>
      <w:sz w:val="32"/>
      <w:szCs w:val="36"/>
      <w:lang w:val="en-GB"/>
    </w:rPr>
  </w:style>
  <w:style w:type="paragraph" w:customStyle="1" w:styleId="HeaderTitle">
    <w:name w:val="Header Title"/>
    <w:basedOn w:val="Normal"/>
    <w:link w:val="HeaderTitleChar"/>
    <w:rsid w:val="00475E76"/>
    <w:pPr>
      <w:spacing w:after="240" w:line="240" w:lineRule="auto"/>
      <w:jc w:val="center"/>
    </w:pPr>
    <w:rPr>
      <w:rFonts w:ascii="Verdana" w:eastAsia="Times New Roman" w:hAnsi="Verdana" w:cs="Times New Roman"/>
      <w:b/>
      <w:color w:val="808080"/>
      <w:sz w:val="18"/>
      <w:szCs w:val="18"/>
      <w:lang w:val="fr-FR"/>
    </w:rPr>
  </w:style>
  <w:style w:type="character" w:customStyle="1" w:styleId="DocumentSubtitleChar">
    <w:name w:val="Document Subtitle Char"/>
    <w:link w:val="DocumentSubtitle"/>
    <w:rsid w:val="00475E76"/>
    <w:rPr>
      <w:rFonts w:ascii="Verdana" w:eastAsia="Times New Roman" w:hAnsi="Verdana" w:cs="Times New Roman"/>
      <w:sz w:val="32"/>
      <w:szCs w:val="36"/>
    </w:rPr>
  </w:style>
  <w:style w:type="character" w:customStyle="1" w:styleId="HeaderTitleChar">
    <w:name w:val="Header Title Char"/>
    <w:link w:val="HeaderTitle"/>
    <w:rsid w:val="00475E76"/>
    <w:rPr>
      <w:rFonts w:ascii="Verdana" w:eastAsia="Times New Roman" w:hAnsi="Verdana" w:cs="Times New Roman"/>
      <w:b/>
      <w:color w:val="808080"/>
      <w:sz w:val="18"/>
      <w:szCs w:val="18"/>
      <w:lang w:val="fr-FR"/>
    </w:rPr>
  </w:style>
  <w:style w:type="paragraph" w:customStyle="1" w:styleId="Heading">
    <w:name w:val="Heading"/>
    <w:basedOn w:val="T1"/>
    <w:link w:val="HeadingChar"/>
    <w:rsid w:val="00475E76"/>
    <w:pPr>
      <w:widowControl w:val="0"/>
      <w:pBdr>
        <w:bottom w:val="single" w:sz="4" w:space="1" w:color="1F497D" w:themeColor="text2"/>
      </w:pBdr>
      <w:autoSpaceDE w:val="0"/>
      <w:autoSpaceDN w:val="0"/>
      <w:adjustRightInd w:val="0"/>
      <w:spacing w:after="0"/>
      <w:ind w:left="0" w:firstLine="0"/>
      <w:jc w:val="left"/>
    </w:pPr>
    <w:rPr>
      <w:rFonts w:ascii="Arial" w:hAnsi="Arial" w:cs="Arial"/>
      <w:caps w:val="0"/>
      <w:color w:val="1F497D" w:themeColor="text2"/>
      <w:sz w:val="50"/>
      <w:szCs w:val="50"/>
    </w:rPr>
  </w:style>
  <w:style w:type="character" w:customStyle="1" w:styleId="HeadingChar">
    <w:name w:val="Heading Char"/>
    <w:link w:val="Heading"/>
    <w:rsid w:val="00475E76"/>
    <w:rPr>
      <w:rFonts w:ascii="Arial" w:eastAsia="Times New Roman" w:hAnsi="Arial" w:cs="Arial"/>
      <w:color w:val="1F497D" w:themeColor="text2"/>
      <w:sz w:val="50"/>
      <w:szCs w:val="50"/>
      <w:lang w:val="fr-FR"/>
    </w:rPr>
  </w:style>
  <w:style w:type="paragraph" w:customStyle="1" w:styleId="Body">
    <w:name w:val="Body"/>
    <w:basedOn w:val="Normal"/>
    <w:link w:val="BodyChar"/>
    <w:qFormat/>
    <w:rsid w:val="00475E76"/>
    <w:pPr>
      <w:spacing w:after="240" w:line="240" w:lineRule="auto"/>
      <w:jc w:val="both"/>
    </w:pPr>
    <w:rPr>
      <w:rFonts w:ascii="Arial" w:eastAsia="Times New Roman" w:hAnsi="Arial" w:cs="Times New Roman"/>
      <w:noProof/>
      <w:szCs w:val="20"/>
    </w:rPr>
  </w:style>
  <w:style w:type="character" w:customStyle="1" w:styleId="BodyChar">
    <w:name w:val="Body Char"/>
    <w:link w:val="Body"/>
    <w:rsid w:val="00475E76"/>
    <w:rPr>
      <w:rFonts w:ascii="Arial" w:eastAsia="Times New Roman" w:hAnsi="Arial" w:cs="Times New Roman"/>
      <w:noProof/>
      <w:szCs w:val="20"/>
    </w:rPr>
  </w:style>
  <w:style w:type="paragraph" w:customStyle="1" w:styleId="HeadingBody">
    <w:name w:val="Heading Body"/>
    <w:basedOn w:val="Normal"/>
    <w:link w:val="HeadingBodyChar"/>
    <w:qFormat/>
    <w:rsid w:val="00475E76"/>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rsid w:val="00475E76"/>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VarsaylanParagrafYazTipi"/>
    <w:link w:val="HeadingBody"/>
    <w:rsid w:val="00475E76"/>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rsid w:val="00475E76"/>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VarsaylanParagrafYazTipi"/>
    <w:link w:val="Titlepublication"/>
    <w:rsid w:val="00475E76"/>
    <w:rPr>
      <w:rFonts w:ascii="Verdana" w:eastAsia="Times New Roman" w:hAnsi="Verdana" w:cs="Times New Roman"/>
      <w:b/>
      <w:color w:val="FF0000"/>
      <w:sz w:val="52"/>
      <w:szCs w:val="52"/>
    </w:rPr>
  </w:style>
  <w:style w:type="character" w:customStyle="1" w:styleId="SubtitlepublicationChar">
    <w:name w:val="Subtitle publication Char"/>
    <w:basedOn w:val="VarsaylanParagrafYazTipi"/>
    <w:link w:val="Subtitlepublication"/>
    <w:rsid w:val="00475E76"/>
    <w:rPr>
      <w:rFonts w:ascii="Verdana" w:eastAsia="Times New Roman" w:hAnsi="Verdana" w:cs="Times New Roman"/>
      <w:b/>
      <w:i/>
      <w:color w:val="FF0000"/>
      <w:sz w:val="32"/>
      <w:szCs w:val="20"/>
    </w:rPr>
  </w:style>
  <w:style w:type="table" w:styleId="TabloKlavuz1">
    <w:name w:val="Table Grid 1"/>
    <w:basedOn w:val="NormalTablo"/>
    <w:rsid w:val="00475E76"/>
    <w:pPr>
      <w:spacing w:after="240" w:line="240" w:lineRule="auto"/>
      <w:jc w:val="both"/>
    </w:pPr>
    <w:rPr>
      <w:rFonts w:ascii="Times New Roman" w:eastAsia="Times New Roman" w:hAnsi="Times New Roman" w:cs="Times New Roman"/>
      <w:sz w:val="20"/>
      <w:szCs w:val="20"/>
      <w:lang w:val="nl-BE" w:eastAsia="nl-B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0">
    <w:name w:val="Title 0"/>
    <w:basedOn w:val="Heading"/>
    <w:link w:val="Title0Char"/>
    <w:qFormat/>
    <w:rsid w:val="00475E76"/>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0Char">
    <w:name w:val="Title 0 Char"/>
    <w:link w:val="Title0"/>
    <w:rsid w:val="00475E76"/>
    <w:rPr>
      <w:rFonts w:ascii="EC Square Sans Pro" w:eastAsia="Times New Roman" w:hAnsi="EC Square Sans Pro" w:cs="Times New Roman"/>
      <w:b/>
      <w:caps/>
      <w:color w:val="325BAA"/>
      <w:sz w:val="36"/>
      <w:szCs w:val="36"/>
      <w:lang w:val="fr-FR"/>
    </w:rPr>
  </w:style>
  <w:style w:type="paragraph" w:customStyle="1" w:styleId="Briefingtext">
    <w:name w:val="Briefing text"/>
    <w:basedOn w:val="Normal"/>
    <w:link w:val="BriefingtextChar"/>
    <w:rsid w:val="00475E76"/>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475E76"/>
    <w:rPr>
      <w:rFonts w:ascii="Arial" w:eastAsia="Times New Roman" w:hAnsi="Arial" w:cs="Arial"/>
      <w:szCs w:val="24"/>
    </w:rPr>
  </w:style>
  <w:style w:type="paragraph" w:customStyle="1" w:styleId="Briefingheading1">
    <w:name w:val="Briefing heading 1"/>
    <w:basedOn w:val="Briefingtext"/>
    <w:next w:val="Briefingtext"/>
    <w:link w:val="Briefingheading1Char"/>
    <w:rsid w:val="00475E76"/>
    <w:pPr>
      <w:keepNext/>
      <w:spacing w:before="240"/>
    </w:pPr>
    <w:rPr>
      <w:b/>
      <w:sz w:val="24"/>
      <w:u w:val="single"/>
    </w:rPr>
  </w:style>
  <w:style w:type="paragraph" w:customStyle="1" w:styleId="Title1">
    <w:name w:val="Title 1"/>
    <w:basedOn w:val="Briefingheading1"/>
    <w:link w:val="Title1Char"/>
    <w:qFormat/>
    <w:rsid w:val="00475E76"/>
    <w:pPr>
      <w:numPr>
        <w:numId w:val="18"/>
      </w:numPr>
      <w:spacing w:before="120" w:after="120"/>
    </w:pPr>
    <w:rPr>
      <w:rFonts w:cs="Times New Roman"/>
      <w:b w:val="0"/>
      <w:color w:val="325BAA"/>
      <w:sz w:val="32"/>
      <w:szCs w:val="32"/>
      <w:u w:val="none"/>
    </w:rPr>
  </w:style>
  <w:style w:type="paragraph" w:customStyle="1" w:styleId="Title2">
    <w:name w:val="Title 2µ"/>
    <w:basedOn w:val="Briefingheading1"/>
    <w:link w:val="Title2Char"/>
    <w:qFormat/>
    <w:rsid w:val="00475E76"/>
    <w:pPr>
      <w:numPr>
        <w:ilvl w:val="1"/>
        <w:numId w:val="18"/>
      </w:numPr>
      <w:spacing w:before="120" w:after="120"/>
    </w:pPr>
    <w:rPr>
      <w:rFonts w:cs="Times New Roman"/>
      <w:color w:val="325BAA"/>
      <w:u w:val="none"/>
    </w:rPr>
  </w:style>
  <w:style w:type="character" w:customStyle="1" w:styleId="Briefingheading1Char">
    <w:name w:val="Briefing heading 1 Char"/>
    <w:link w:val="Briefingheading1"/>
    <w:rsid w:val="00475E76"/>
    <w:rPr>
      <w:rFonts w:ascii="Arial" w:eastAsia="Times New Roman" w:hAnsi="Arial" w:cs="Arial"/>
      <w:b/>
      <w:sz w:val="24"/>
      <w:szCs w:val="24"/>
      <w:u w:val="single"/>
    </w:rPr>
  </w:style>
  <w:style w:type="character" w:customStyle="1" w:styleId="Title1Char">
    <w:name w:val="Title 1 Char"/>
    <w:link w:val="Title1"/>
    <w:rsid w:val="00475E76"/>
    <w:rPr>
      <w:rFonts w:ascii="Arial" w:eastAsia="Times New Roman" w:hAnsi="Arial" w:cs="Times New Roman"/>
      <w:color w:val="325BAA"/>
      <w:sz w:val="32"/>
      <w:szCs w:val="32"/>
    </w:rPr>
  </w:style>
  <w:style w:type="character" w:customStyle="1" w:styleId="Title2Char">
    <w:name w:val="Title 2µ Char"/>
    <w:link w:val="Title2"/>
    <w:rsid w:val="00475E76"/>
    <w:rPr>
      <w:rFonts w:ascii="Arial" w:eastAsia="Times New Roman" w:hAnsi="Arial" w:cs="Times New Roman"/>
      <w:b/>
      <w:color w:val="325BAA"/>
      <w:sz w:val="24"/>
      <w:szCs w:val="24"/>
    </w:rPr>
  </w:style>
  <w:style w:type="paragraph" w:customStyle="1" w:styleId="bullettext">
    <w:name w:val="bullet text"/>
    <w:basedOn w:val="Body"/>
    <w:link w:val="bullettextChar"/>
    <w:qFormat/>
    <w:rsid w:val="00475E76"/>
    <w:pPr>
      <w:numPr>
        <w:numId w:val="19"/>
      </w:numPr>
      <w:spacing w:before="120" w:after="120"/>
    </w:pPr>
    <w:rPr>
      <w:szCs w:val="24"/>
    </w:rPr>
  </w:style>
  <w:style w:type="character" w:customStyle="1" w:styleId="bullettextChar">
    <w:name w:val="bullet text Char"/>
    <w:basedOn w:val="BodyChar"/>
    <w:link w:val="bullettext"/>
    <w:rsid w:val="00475E76"/>
    <w:rPr>
      <w:rFonts w:ascii="Arial" w:eastAsia="Times New Roman" w:hAnsi="Arial" w:cs="Times New Roman"/>
      <w:noProof/>
      <w:szCs w:val="24"/>
    </w:rPr>
  </w:style>
  <w:style w:type="paragraph" w:customStyle="1" w:styleId="Boxtitle">
    <w:name w:val="Box title"/>
    <w:basedOn w:val="Normal"/>
    <w:link w:val="BoxtitleChar"/>
    <w:qFormat/>
    <w:rsid w:val="00475E76"/>
    <w:pPr>
      <w:spacing w:line="240" w:lineRule="auto"/>
      <w:ind w:right="143"/>
      <w:jc w:val="both"/>
    </w:pPr>
    <w:rPr>
      <w:rFonts w:ascii="Arial" w:eastAsia="Times New Roman" w:hAnsi="Arial" w:cs="Arial"/>
      <w:b/>
      <w:color w:val="1F497D" w:themeColor="text2"/>
      <w:sz w:val="24"/>
      <w:szCs w:val="20"/>
    </w:rPr>
  </w:style>
  <w:style w:type="character" w:customStyle="1" w:styleId="BoxtitleChar">
    <w:name w:val="Box title Char"/>
    <w:basedOn w:val="VarsaylanParagrafYazTipi"/>
    <w:link w:val="Boxtitle"/>
    <w:rsid w:val="00475E76"/>
    <w:rPr>
      <w:rFonts w:ascii="Arial" w:eastAsia="Times New Roman" w:hAnsi="Arial" w:cs="Arial"/>
      <w:b/>
      <w:color w:val="1F497D" w:themeColor="text2"/>
      <w:sz w:val="24"/>
      <w:szCs w:val="20"/>
    </w:rPr>
  </w:style>
  <w:style w:type="character" w:customStyle="1" w:styleId="Balk1Char">
    <w:name w:val="Başlık 1 Char"/>
    <w:basedOn w:val="VarsaylanParagrafYazTipi"/>
    <w:link w:val="Balk1"/>
    <w:uiPriority w:val="9"/>
    <w:rsid w:val="00512CA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512CA4"/>
    <w:pPr>
      <w:spacing w:line="259" w:lineRule="auto"/>
      <w:outlineLvl w:val="9"/>
    </w:pPr>
    <w:rPr>
      <w:lang w:val="en-US"/>
    </w:rPr>
  </w:style>
  <w:style w:type="paragraph" w:styleId="KonuBal">
    <w:name w:val="Title"/>
    <w:basedOn w:val="Normal"/>
    <w:next w:val="Normal"/>
    <w:link w:val="KonuBalChar"/>
    <w:uiPriority w:val="10"/>
    <w:qFormat/>
    <w:rsid w:val="00512C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2CA4"/>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512CA4"/>
    <w:rPr>
      <w:rFonts w:asciiTheme="majorHAnsi" w:eastAsiaTheme="majorEastAsia" w:hAnsiTheme="majorHAnsi" w:cstheme="majorBidi"/>
      <w:color w:val="365F91" w:themeColor="accent1" w:themeShade="BF"/>
      <w:sz w:val="26"/>
      <w:szCs w:val="26"/>
    </w:rPr>
  </w:style>
  <w:style w:type="character" w:styleId="SatrNumaras">
    <w:name w:val="line number"/>
    <w:basedOn w:val="VarsaylanParagrafYazTipi"/>
    <w:uiPriority w:val="99"/>
    <w:semiHidden/>
    <w:unhideWhenUsed/>
    <w:rsid w:val="0038129F"/>
  </w:style>
  <w:style w:type="paragraph" w:customStyle="1" w:styleId="xmsolistparagraph">
    <w:name w:val="x_msolistparagraph"/>
    <w:basedOn w:val="Normal"/>
    <w:rsid w:val="00997032"/>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zlenenKpr">
    <w:name w:val="FollowedHyperlink"/>
    <w:basedOn w:val="VarsaylanParagrafYazTipi"/>
    <w:uiPriority w:val="99"/>
    <w:semiHidden/>
    <w:unhideWhenUsed/>
    <w:rsid w:val="00116163"/>
    <w:rPr>
      <w:color w:val="800080" w:themeColor="followedHyperlink"/>
      <w:u w:val="single"/>
    </w:rPr>
  </w:style>
  <w:style w:type="character" w:customStyle="1" w:styleId="Marker2">
    <w:name w:val="Marker2"/>
    <w:basedOn w:val="VarsaylanParagrafYazTipi"/>
    <w:rsid w:val="005B3E18"/>
    <w:rPr>
      <w:color w:val="FF0000"/>
      <w:shd w:val="clear" w:color="auto" w:fill="auto"/>
    </w:rPr>
  </w:style>
  <w:style w:type="paragraph" w:customStyle="1" w:styleId="Datedadoption">
    <w:name w:val="Date d'adoption"/>
    <w:basedOn w:val="Normal"/>
    <w:next w:val="Titreobjet"/>
    <w:rsid w:val="005B3E18"/>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B3E18"/>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5B3E18"/>
    <w:pPr>
      <w:spacing w:before="360"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A6"/>
  </w:style>
  <w:style w:type="paragraph" w:styleId="Balk1">
    <w:name w:val="heading 1"/>
    <w:basedOn w:val="Normal"/>
    <w:next w:val="Normal"/>
    <w:link w:val="Balk1Char"/>
    <w:uiPriority w:val="9"/>
    <w:qFormat/>
    <w:rsid w:val="00512C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512C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eParagrafChar"/>
    <w:uiPriority w:val="34"/>
    <w:qFormat/>
    <w:rsid w:val="000364C0"/>
    <w:pPr>
      <w:ind w:left="720"/>
      <w:contextualSpacing/>
    </w:pPr>
  </w:style>
  <w:style w:type="character" w:styleId="AklamaBavurusu">
    <w:name w:val="annotation reference"/>
    <w:basedOn w:val="VarsaylanParagrafYazTipi"/>
    <w:uiPriority w:val="99"/>
    <w:semiHidden/>
    <w:unhideWhenUsed/>
    <w:rsid w:val="00E45FA3"/>
    <w:rPr>
      <w:sz w:val="16"/>
      <w:szCs w:val="16"/>
    </w:rPr>
  </w:style>
  <w:style w:type="paragraph" w:styleId="AklamaMetni">
    <w:name w:val="annotation text"/>
    <w:basedOn w:val="Normal"/>
    <w:link w:val="AklamaMetniChar"/>
    <w:uiPriority w:val="99"/>
    <w:unhideWhenUsed/>
    <w:rsid w:val="00E45FA3"/>
    <w:pPr>
      <w:spacing w:line="240" w:lineRule="auto"/>
    </w:pPr>
    <w:rPr>
      <w:sz w:val="20"/>
      <w:szCs w:val="20"/>
    </w:rPr>
  </w:style>
  <w:style w:type="character" w:customStyle="1" w:styleId="AklamaMetniChar">
    <w:name w:val="Açıklama Metni Char"/>
    <w:basedOn w:val="VarsaylanParagrafYazTipi"/>
    <w:link w:val="AklamaMetni"/>
    <w:uiPriority w:val="99"/>
    <w:rsid w:val="00E45FA3"/>
    <w:rPr>
      <w:sz w:val="20"/>
      <w:szCs w:val="20"/>
    </w:rPr>
  </w:style>
  <w:style w:type="paragraph" w:styleId="AklamaKonusu">
    <w:name w:val="annotation subject"/>
    <w:basedOn w:val="AklamaMetni"/>
    <w:next w:val="AklamaMetni"/>
    <w:link w:val="AklamaKonusuChar"/>
    <w:uiPriority w:val="99"/>
    <w:semiHidden/>
    <w:unhideWhenUsed/>
    <w:rsid w:val="00E45FA3"/>
    <w:rPr>
      <w:b/>
      <w:bCs/>
    </w:rPr>
  </w:style>
  <w:style w:type="character" w:customStyle="1" w:styleId="AklamaKonusuChar">
    <w:name w:val="Açıklama Konusu Char"/>
    <w:basedOn w:val="AklamaMetniChar"/>
    <w:link w:val="AklamaKonusu"/>
    <w:uiPriority w:val="99"/>
    <w:semiHidden/>
    <w:rsid w:val="00E45FA3"/>
    <w:rPr>
      <w:b/>
      <w:bCs/>
      <w:sz w:val="20"/>
      <w:szCs w:val="20"/>
    </w:rPr>
  </w:style>
  <w:style w:type="paragraph" w:styleId="BalonMetni">
    <w:name w:val="Balloon Text"/>
    <w:basedOn w:val="Normal"/>
    <w:link w:val="BalonMetniChar"/>
    <w:uiPriority w:val="99"/>
    <w:semiHidden/>
    <w:unhideWhenUsed/>
    <w:rsid w:val="00E45F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5FA3"/>
    <w:rPr>
      <w:rFonts w:ascii="Segoe UI" w:hAnsi="Segoe UI" w:cs="Segoe UI"/>
      <w:sz w:val="18"/>
      <w:szCs w:val="18"/>
    </w:rPr>
  </w:style>
  <w:style w:type="paragraph" w:styleId="DipnotMetni">
    <w:name w:val="footnote text"/>
    <w:aliases w:val="Fußnote,Footnote Text Char Char Char,Footnote Text Char Char,single space,Fußnotentextf,Footnote text,fn,Schriftart: 9 pt,Schriftart: 10 pt,Schriftart: 8 pt,WB-Fußnotentext,footnote text Carattere,Geneva 9,Font: Geneva 9"/>
    <w:basedOn w:val="Normal"/>
    <w:link w:val="DipnotMetniChar"/>
    <w:uiPriority w:val="99"/>
    <w:unhideWhenUsed/>
    <w:qFormat/>
    <w:rsid w:val="00F919C9"/>
    <w:pPr>
      <w:spacing w:after="0" w:line="240" w:lineRule="auto"/>
    </w:pPr>
    <w:rPr>
      <w:sz w:val="20"/>
      <w:szCs w:val="20"/>
    </w:rPr>
  </w:style>
  <w:style w:type="character" w:customStyle="1" w:styleId="DipnotMetniChar">
    <w:name w:val="Dipnot Metni Char"/>
    <w:aliases w:val="Fußnote Char1,Footnote Text Char Char Char Char1,Footnote Text Char Char Char2,single space Char1,Fußnotentextf Char1,Footnote text Char1,fn Char1,Schriftart: 9 pt Char1,Schriftart: 10 pt Char1,Schriftart: 8 pt Char1,Geneva 9 Char"/>
    <w:basedOn w:val="VarsaylanParagrafYazTipi"/>
    <w:link w:val="DipnotMetni"/>
    <w:uiPriority w:val="99"/>
    <w:rsid w:val="00F919C9"/>
    <w:rPr>
      <w:sz w:val="20"/>
      <w:szCs w:val="20"/>
    </w:rPr>
  </w:style>
  <w:style w:type="character" w:styleId="DipnotBavurusu">
    <w:name w:val="footnote reference"/>
    <w:aliases w:val="BVI fnr,Footnote symbol,Footnote reference number,Times 10 Point,Exposant 3 Point,Ref,de nota al pie,note TESI,SUPERS,EN Footnote Reference,EN Footnote text,Voetnootverwijzing,Appel note de bas de p,ftref,11 pt,Blac,16 Point,Footnote"/>
    <w:basedOn w:val="VarsaylanParagrafYazTipi"/>
    <w:uiPriority w:val="99"/>
    <w:unhideWhenUsed/>
    <w:qFormat/>
    <w:rsid w:val="00F919C9"/>
    <w:rPr>
      <w:vertAlign w:val="superscript"/>
    </w:rPr>
  </w:style>
  <w:style w:type="paragraph" w:styleId="Dzeltme">
    <w:name w:val="Revision"/>
    <w:hidden/>
    <w:uiPriority w:val="99"/>
    <w:semiHidden/>
    <w:rsid w:val="00586FCC"/>
    <w:pPr>
      <w:spacing w:after="0" w:line="240" w:lineRule="auto"/>
    </w:pPr>
  </w:style>
  <w:style w:type="paragraph" w:customStyle="1" w:styleId="NormalConseil">
    <w:name w:val="NormalConseil"/>
    <w:basedOn w:val="Normal"/>
    <w:rsid w:val="002802B7"/>
    <w:pPr>
      <w:spacing w:after="0" w:line="240" w:lineRule="auto"/>
    </w:pPr>
    <w:rPr>
      <w:rFonts w:ascii="Times New Roman" w:hAnsi="Times New Roman" w:cs="Times New Roman"/>
      <w:sz w:val="24"/>
      <w:szCs w:val="24"/>
      <w:lang w:eastAsia="en-GB"/>
    </w:rPr>
  </w:style>
  <w:style w:type="paragraph" w:customStyle="1" w:styleId="Default">
    <w:name w:val="Default"/>
    <w:rsid w:val="00384769"/>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stbilgi">
    <w:name w:val="header"/>
    <w:basedOn w:val="Normal"/>
    <w:link w:val="stbilgiChar"/>
    <w:uiPriority w:val="99"/>
    <w:unhideWhenUsed/>
    <w:rsid w:val="00E0058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00585"/>
  </w:style>
  <w:style w:type="paragraph" w:styleId="Altbilgi">
    <w:name w:val="footer"/>
    <w:basedOn w:val="Normal"/>
    <w:link w:val="AltbilgiChar"/>
    <w:uiPriority w:val="99"/>
    <w:unhideWhenUsed/>
    <w:rsid w:val="00E0058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00585"/>
  </w:style>
  <w:style w:type="character" w:customStyle="1" w:styleId="ListeParagrafChar">
    <w:name w:val="Liste Paragraf Char"/>
    <w:aliases w:val="Table/Figure Heading Char,Colorful List - Accent 11 Char,Dot pt Char,F5 List Paragraph Char,List Paragraph1 Char,No Spacing1 Char,List Paragraph Char Char Char Char,Indicator Text Char,Numbered Para 1 Char,Bullet 1 Char,L Char"/>
    <w:link w:val="ListeParagraf"/>
    <w:uiPriority w:val="34"/>
    <w:qFormat/>
    <w:locked/>
    <w:rsid w:val="000D3EE3"/>
  </w:style>
  <w:style w:type="character" w:styleId="SayfaNumaras">
    <w:name w:val="page number"/>
    <w:basedOn w:val="VarsaylanParagrafYazTipi"/>
    <w:uiPriority w:val="99"/>
    <w:semiHidden/>
    <w:unhideWhenUsed/>
    <w:rsid w:val="00F0167E"/>
  </w:style>
  <w:style w:type="table" w:styleId="TabloKlavuzu">
    <w:name w:val="Table Grid"/>
    <w:aliases w:val="Document Table"/>
    <w:basedOn w:val="NormalTablo"/>
    <w:uiPriority w:val="59"/>
    <w:rsid w:val="007C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ußnote Char,Footnote Text Char Char1,Footnote Text Char Char Char Char,Footnote Text Char Char Char1,single space Char,Fußnotentextf Char,Footnote text Char,fn Char,Schriftart: 9 pt Char,Schriftart: 10 pt Char,Schriftart: 8 pt Char"/>
    <w:uiPriority w:val="99"/>
    <w:rsid w:val="00161026"/>
    <w:rPr>
      <w:rFonts w:ascii="Times New Roman" w:hAnsi="Times New Roman"/>
    </w:rPr>
  </w:style>
  <w:style w:type="character" w:styleId="Kpr">
    <w:name w:val="Hyperlink"/>
    <w:basedOn w:val="VarsaylanParagrafYazTipi"/>
    <w:uiPriority w:val="99"/>
    <w:unhideWhenUsed/>
    <w:rsid w:val="007168ED"/>
    <w:rPr>
      <w:color w:val="0000FF" w:themeColor="hyperlink"/>
      <w:u w:val="single"/>
    </w:rPr>
  </w:style>
  <w:style w:type="character" w:styleId="Vurgu">
    <w:name w:val="Emphasis"/>
    <w:basedOn w:val="VarsaylanParagrafYazTipi"/>
    <w:uiPriority w:val="20"/>
    <w:qFormat/>
    <w:rsid w:val="00AB7115"/>
    <w:rPr>
      <w:b/>
      <w:bCs/>
      <w:i w:val="0"/>
      <w:iCs w:val="0"/>
    </w:rPr>
  </w:style>
  <w:style w:type="character" w:customStyle="1" w:styleId="st1">
    <w:name w:val="st1"/>
    <w:basedOn w:val="VarsaylanParagrafYazTipi"/>
    <w:rsid w:val="00AB7115"/>
  </w:style>
  <w:style w:type="paragraph" w:styleId="NormalWeb">
    <w:name w:val="Normal (Web)"/>
    <w:basedOn w:val="Normal"/>
    <w:uiPriority w:val="99"/>
    <w:semiHidden/>
    <w:unhideWhenUsed/>
    <w:rsid w:val="002D01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simYazs">
    <w:name w:val="caption"/>
    <w:basedOn w:val="Normal"/>
    <w:next w:val="Normal"/>
    <w:uiPriority w:val="35"/>
    <w:semiHidden/>
    <w:unhideWhenUsed/>
    <w:qFormat/>
    <w:rsid w:val="00E5666E"/>
    <w:pPr>
      <w:spacing w:line="240" w:lineRule="auto"/>
    </w:pPr>
    <w:rPr>
      <w:i/>
      <w:iCs/>
      <w:color w:val="1F497D" w:themeColor="text2"/>
      <w:sz w:val="18"/>
      <w:szCs w:val="18"/>
    </w:rPr>
  </w:style>
  <w:style w:type="numbering" w:customStyle="1" w:styleId="NoList1">
    <w:name w:val="No List1"/>
    <w:next w:val="ListeYok"/>
    <w:uiPriority w:val="99"/>
    <w:semiHidden/>
    <w:unhideWhenUsed/>
    <w:rsid w:val="005742F9"/>
  </w:style>
  <w:style w:type="table" w:customStyle="1" w:styleId="TableGrid1">
    <w:name w:val="Table Grid1"/>
    <w:basedOn w:val="NormalTablo"/>
    <w:next w:val="TabloKlavuzu"/>
    <w:uiPriority w:val="59"/>
    <w:rsid w:val="00574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1">
    <w:name w:val="toc 1"/>
    <w:basedOn w:val="Normal"/>
    <w:next w:val="Normal"/>
    <w:uiPriority w:val="39"/>
    <w:rsid w:val="00475E76"/>
    <w:pPr>
      <w:tabs>
        <w:tab w:val="right" w:leader="dot" w:pos="8640"/>
      </w:tabs>
      <w:spacing w:before="120" w:after="120" w:line="240" w:lineRule="auto"/>
      <w:ind w:left="482" w:right="720" w:hanging="482"/>
      <w:jc w:val="both"/>
    </w:pPr>
    <w:rPr>
      <w:rFonts w:ascii="Verdana" w:eastAsia="Times New Roman" w:hAnsi="Verdana" w:cs="Times New Roman"/>
      <w:caps/>
      <w:sz w:val="18"/>
      <w:szCs w:val="20"/>
      <w:lang w:val="fr-FR"/>
    </w:rPr>
  </w:style>
  <w:style w:type="paragraph" w:styleId="T2">
    <w:name w:val="toc 2"/>
    <w:basedOn w:val="Normal"/>
    <w:next w:val="Normal"/>
    <w:uiPriority w:val="39"/>
    <w:rsid w:val="00475E76"/>
    <w:pPr>
      <w:tabs>
        <w:tab w:val="right" w:leader="dot" w:pos="8640"/>
      </w:tabs>
      <w:spacing w:before="60" w:after="60" w:line="240" w:lineRule="auto"/>
      <w:ind w:left="1077" w:right="720" w:hanging="595"/>
      <w:jc w:val="both"/>
    </w:pPr>
    <w:rPr>
      <w:rFonts w:ascii="Verdana" w:eastAsia="Times New Roman" w:hAnsi="Verdana" w:cs="Times New Roman"/>
      <w:sz w:val="18"/>
      <w:szCs w:val="20"/>
      <w:lang w:val="fr-FR"/>
    </w:rPr>
  </w:style>
  <w:style w:type="paragraph" w:customStyle="1" w:styleId="ZCom">
    <w:name w:val="Z_Com"/>
    <w:basedOn w:val="Normal"/>
    <w:next w:val="ZDGName"/>
    <w:rsid w:val="00475E76"/>
    <w:pPr>
      <w:widowControl w:val="0"/>
      <w:autoSpaceDE w:val="0"/>
      <w:autoSpaceDN w:val="0"/>
      <w:spacing w:after="0" w:line="240" w:lineRule="auto"/>
      <w:ind w:right="85"/>
      <w:jc w:val="both"/>
    </w:pPr>
    <w:rPr>
      <w:rFonts w:ascii="Arial" w:eastAsia="Times New Roman" w:hAnsi="Arial" w:cs="Arial"/>
      <w:sz w:val="24"/>
      <w:szCs w:val="24"/>
      <w:lang w:val="fr-FR" w:eastAsia="en-GB"/>
    </w:rPr>
  </w:style>
  <w:style w:type="paragraph" w:customStyle="1" w:styleId="ZDGName">
    <w:name w:val="Z_DGName"/>
    <w:basedOn w:val="Normal"/>
    <w:rsid w:val="00475E76"/>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DocumentTitle">
    <w:name w:val="Document Title"/>
    <w:basedOn w:val="Normal"/>
    <w:link w:val="DocumentTitleChar"/>
    <w:qFormat/>
    <w:rsid w:val="00475E76"/>
    <w:pPr>
      <w:spacing w:after="240" w:line="240" w:lineRule="auto"/>
      <w:jc w:val="center"/>
    </w:pPr>
    <w:rPr>
      <w:rFonts w:ascii="Verdana" w:eastAsia="Times New Roman" w:hAnsi="Verdana" w:cs="Times New Roman"/>
      <w:b/>
      <w:sz w:val="52"/>
      <w:szCs w:val="20"/>
      <w:lang w:val="fr-FR"/>
    </w:rPr>
  </w:style>
  <w:style w:type="character" w:customStyle="1" w:styleId="DocumentTitleChar">
    <w:name w:val="Document Title Char"/>
    <w:link w:val="DocumentTitle"/>
    <w:rsid w:val="00475E76"/>
    <w:rPr>
      <w:rFonts w:ascii="Verdana" w:eastAsia="Times New Roman" w:hAnsi="Verdana" w:cs="Times New Roman"/>
      <w:b/>
      <w:sz w:val="52"/>
      <w:szCs w:val="20"/>
      <w:lang w:val="fr-FR"/>
    </w:rPr>
  </w:style>
  <w:style w:type="paragraph" w:customStyle="1" w:styleId="FooterDate">
    <w:name w:val="Footer Date"/>
    <w:basedOn w:val="Altbilgi"/>
    <w:link w:val="FooterDateChar"/>
    <w:rsid w:val="00475E76"/>
    <w:pPr>
      <w:tabs>
        <w:tab w:val="clear" w:pos="4513"/>
        <w:tab w:val="clear" w:pos="9026"/>
        <w:tab w:val="right" w:pos="9240"/>
      </w:tabs>
      <w:ind w:right="-567"/>
    </w:pPr>
    <w:rPr>
      <w:rFonts w:ascii="Verdana" w:eastAsia="Times New Roman" w:hAnsi="Verdana" w:cs="Times New Roman"/>
      <w:sz w:val="16"/>
      <w:szCs w:val="20"/>
      <w:lang w:val="it-IT"/>
    </w:rPr>
  </w:style>
  <w:style w:type="character" w:customStyle="1" w:styleId="FooterDateChar">
    <w:name w:val="Footer Date Char"/>
    <w:link w:val="FooterDate"/>
    <w:rsid w:val="00475E76"/>
    <w:rPr>
      <w:rFonts w:ascii="Verdana" w:eastAsia="Times New Roman" w:hAnsi="Verdana" w:cs="Times New Roman"/>
      <w:sz w:val="16"/>
      <w:szCs w:val="20"/>
      <w:lang w:val="it-IT"/>
    </w:rPr>
  </w:style>
  <w:style w:type="paragraph" w:customStyle="1" w:styleId="DocumentSubtitle">
    <w:name w:val="Document Subtitle"/>
    <w:basedOn w:val="DocumentTitle"/>
    <w:link w:val="DocumentSubtitleChar"/>
    <w:qFormat/>
    <w:rsid w:val="00475E76"/>
    <w:rPr>
      <w:b w:val="0"/>
      <w:sz w:val="32"/>
      <w:szCs w:val="36"/>
      <w:lang w:val="en-GB"/>
    </w:rPr>
  </w:style>
  <w:style w:type="paragraph" w:customStyle="1" w:styleId="HeaderTitle">
    <w:name w:val="Header Title"/>
    <w:basedOn w:val="Normal"/>
    <w:link w:val="HeaderTitleChar"/>
    <w:rsid w:val="00475E76"/>
    <w:pPr>
      <w:spacing w:after="240" w:line="240" w:lineRule="auto"/>
      <w:jc w:val="center"/>
    </w:pPr>
    <w:rPr>
      <w:rFonts w:ascii="Verdana" w:eastAsia="Times New Roman" w:hAnsi="Verdana" w:cs="Times New Roman"/>
      <w:b/>
      <w:color w:val="808080"/>
      <w:sz w:val="18"/>
      <w:szCs w:val="18"/>
      <w:lang w:val="fr-FR"/>
    </w:rPr>
  </w:style>
  <w:style w:type="character" w:customStyle="1" w:styleId="DocumentSubtitleChar">
    <w:name w:val="Document Subtitle Char"/>
    <w:link w:val="DocumentSubtitle"/>
    <w:rsid w:val="00475E76"/>
    <w:rPr>
      <w:rFonts w:ascii="Verdana" w:eastAsia="Times New Roman" w:hAnsi="Verdana" w:cs="Times New Roman"/>
      <w:sz w:val="32"/>
      <w:szCs w:val="36"/>
    </w:rPr>
  </w:style>
  <w:style w:type="character" w:customStyle="1" w:styleId="HeaderTitleChar">
    <w:name w:val="Header Title Char"/>
    <w:link w:val="HeaderTitle"/>
    <w:rsid w:val="00475E76"/>
    <w:rPr>
      <w:rFonts w:ascii="Verdana" w:eastAsia="Times New Roman" w:hAnsi="Verdana" w:cs="Times New Roman"/>
      <w:b/>
      <w:color w:val="808080"/>
      <w:sz w:val="18"/>
      <w:szCs w:val="18"/>
      <w:lang w:val="fr-FR"/>
    </w:rPr>
  </w:style>
  <w:style w:type="paragraph" w:customStyle="1" w:styleId="Heading">
    <w:name w:val="Heading"/>
    <w:basedOn w:val="T1"/>
    <w:link w:val="HeadingChar"/>
    <w:rsid w:val="00475E76"/>
    <w:pPr>
      <w:widowControl w:val="0"/>
      <w:pBdr>
        <w:bottom w:val="single" w:sz="4" w:space="1" w:color="1F497D" w:themeColor="text2"/>
      </w:pBdr>
      <w:autoSpaceDE w:val="0"/>
      <w:autoSpaceDN w:val="0"/>
      <w:adjustRightInd w:val="0"/>
      <w:spacing w:after="0"/>
      <w:ind w:left="0" w:firstLine="0"/>
      <w:jc w:val="left"/>
    </w:pPr>
    <w:rPr>
      <w:rFonts w:ascii="Arial" w:hAnsi="Arial" w:cs="Arial"/>
      <w:caps w:val="0"/>
      <w:color w:val="1F497D" w:themeColor="text2"/>
      <w:sz w:val="50"/>
      <w:szCs w:val="50"/>
    </w:rPr>
  </w:style>
  <w:style w:type="character" w:customStyle="1" w:styleId="HeadingChar">
    <w:name w:val="Heading Char"/>
    <w:link w:val="Heading"/>
    <w:rsid w:val="00475E76"/>
    <w:rPr>
      <w:rFonts w:ascii="Arial" w:eastAsia="Times New Roman" w:hAnsi="Arial" w:cs="Arial"/>
      <w:color w:val="1F497D" w:themeColor="text2"/>
      <w:sz w:val="50"/>
      <w:szCs w:val="50"/>
      <w:lang w:val="fr-FR"/>
    </w:rPr>
  </w:style>
  <w:style w:type="paragraph" w:customStyle="1" w:styleId="Body">
    <w:name w:val="Body"/>
    <w:basedOn w:val="Normal"/>
    <w:link w:val="BodyChar"/>
    <w:qFormat/>
    <w:rsid w:val="00475E76"/>
    <w:pPr>
      <w:spacing w:after="240" w:line="240" w:lineRule="auto"/>
      <w:jc w:val="both"/>
    </w:pPr>
    <w:rPr>
      <w:rFonts w:ascii="Arial" w:eastAsia="Times New Roman" w:hAnsi="Arial" w:cs="Times New Roman"/>
      <w:noProof/>
      <w:szCs w:val="20"/>
    </w:rPr>
  </w:style>
  <w:style w:type="character" w:customStyle="1" w:styleId="BodyChar">
    <w:name w:val="Body Char"/>
    <w:link w:val="Body"/>
    <w:rsid w:val="00475E76"/>
    <w:rPr>
      <w:rFonts w:ascii="Arial" w:eastAsia="Times New Roman" w:hAnsi="Arial" w:cs="Times New Roman"/>
      <w:noProof/>
      <w:szCs w:val="20"/>
    </w:rPr>
  </w:style>
  <w:style w:type="paragraph" w:customStyle="1" w:styleId="HeadingBody">
    <w:name w:val="Heading Body"/>
    <w:basedOn w:val="Normal"/>
    <w:link w:val="HeadingBodyChar"/>
    <w:qFormat/>
    <w:rsid w:val="00475E76"/>
    <w:pPr>
      <w:spacing w:after="120" w:line="240" w:lineRule="auto"/>
      <w:jc w:val="both"/>
    </w:pPr>
    <w:rPr>
      <w:rFonts w:ascii="Verdana" w:eastAsia="Times New Roman" w:hAnsi="Verdana" w:cs="Times New Roman"/>
      <w:b/>
      <w:sz w:val="20"/>
      <w:szCs w:val="18"/>
    </w:rPr>
  </w:style>
  <w:style w:type="paragraph" w:customStyle="1" w:styleId="Titlepublication">
    <w:name w:val="Title publication"/>
    <w:basedOn w:val="Normal"/>
    <w:link w:val="TitlepublicationChar"/>
    <w:qFormat/>
    <w:rsid w:val="00475E76"/>
    <w:pPr>
      <w:spacing w:after="240" w:line="240" w:lineRule="auto"/>
      <w:jc w:val="center"/>
    </w:pPr>
    <w:rPr>
      <w:rFonts w:ascii="Verdana" w:eastAsia="Times New Roman" w:hAnsi="Verdana" w:cs="Times New Roman"/>
      <w:b/>
      <w:color w:val="FF0000"/>
      <w:sz w:val="52"/>
      <w:szCs w:val="52"/>
    </w:rPr>
  </w:style>
  <w:style w:type="character" w:customStyle="1" w:styleId="HeadingBodyChar">
    <w:name w:val="Heading Body Char"/>
    <w:basedOn w:val="VarsaylanParagrafYazTipi"/>
    <w:link w:val="HeadingBody"/>
    <w:rsid w:val="00475E76"/>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rsid w:val="00475E76"/>
    <w:pPr>
      <w:spacing w:after="240" w:line="240" w:lineRule="auto"/>
      <w:jc w:val="center"/>
    </w:pPr>
    <w:rPr>
      <w:rFonts w:ascii="Verdana" w:eastAsia="Times New Roman" w:hAnsi="Verdana" w:cs="Times New Roman"/>
      <w:b/>
      <w:i/>
      <w:color w:val="FF0000"/>
      <w:sz w:val="32"/>
      <w:szCs w:val="20"/>
    </w:rPr>
  </w:style>
  <w:style w:type="character" w:customStyle="1" w:styleId="TitlepublicationChar">
    <w:name w:val="Title publication Char"/>
    <w:basedOn w:val="VarsaylanParagrafYazTipi"/>
    <w:link w:val="Titlepublication"/>
    <w:rsid w:val="00475E76"/>
    <w:rPr>
      <w:rFonts w:ascii="Verdana" w:eastAsia="Times New Roman" w:hAnsi="Verdana" w:cs="Times New Roman"/>
      <w:b/>
      <w:color w:val="FF0000"/>
      <w:sz w:val="52"/>
      <w:szCs w:val="52"/>
    </w:rPr>
  </w:style>
  <w:style w:type="character" w:customStyle="1" w:styleId="SubtitlepublicationChar">
    <w:name w:val="Subtitle publication Char"/>
    <w:basedOn w:val="VarsaylanParagrafYazTipi"/>
    <w:link w:val="Subtitlepublication"/>
    <w:rsid w:val="00475E76"/>
    <w:rPr>
      <w:rFonts w:ascii="Verdana" w:eastAsia="Times New Roman" w:hAnsi="Verdana" w:cs="Times New Roman"/>
      <w:b/>
      <w:i/>
      <w:color w:val="FF0000"/>
      <w:sz w:val="32"/>
      <w:szCs w:val="20"/>
    </w:rPr>
  </w:style>
  <w:style w:type="table" w:styleId="TabloKlavuz1">
    <w:name w:val="Table Grid 1"/>
    <w:basedOn w:val="NormalTablo"/>
    <w:rsid w:val="00475E76"/>
    <w:pPr>
      <w:spacing w:after="240" w:line="240" w:lineRule="auto"/>
      <w:jc w:val="both"/>
    </w:pPr>
    <w:rPr>
      <w:rFonts w:ascii="Times New Roman" w:eastAsia="Times New Roman" w:hAnsi="Times New Roman" w:cs="Times New Roman"/>
      <w:sz w:val="20"/>
      <w:szCs w:val="20"/>
      <w:lang w:val="nl-BE" w:eastAsia="nl-B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0">
    <w:name w:val="Title 0"/>
    <w:basedOn w:val="Heading"/>
    <w:link w:val="Title0Char"/>
    <w:qFormat/>
    <w:rsid w:val="00475E76"/>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0Char">
    <w:name w:val="Title 0 Char"/>
    <w:link w:val="Title0"/>
    <w:rsid w:val="00475E76"/>
    <w:rPr>
      <w:rFonts w:ascii="EC Square Sans Pro" w:eastAsia="Times New Roman" w:hAnsi="EC Square Sans Pro" w:cs="Times New Roman"/>
      <w:b/>
      <w:caps/>
      <w:color w:val="325BAA"/>
      <w:sz w:val="36"/>
      <w:szCs w:val="36"/>
      <w:lang w:val="fr-FR"/>
    </w:rPr>
  </w:style>
  <w:style w:type="paragraph" w:customStyle="1" w:styleId="Briefingtext">
    <w:name w:val="Briefing text"/>
    <w:basedOn w:val="Normal"/>
    <w:link w:val="BriefingtextChar"/>
    <w:rsid w:val="00475E76"/>
    <w:pPr>
      <w:spacing w:after="240" w:line="240" w:lineRule="auto"/>
      <w:jc w:val="both"/>
    </w:pPr>
    <w:rPr>
      <w:rFonts w:ascii="Arial" w:eastAsia="Times New Roman" w:hAnsi="Arial" w:cs="Arial"/>
      <w:szCs w:val="24"/>
    </w:rPr>
  </w:style>
  <w:style w:type="character" w:customStyle="1" w:styleId="BriefingtextChar">
    <w:name w:val="Briefing text Char"/>
    <w:link w:val="Briefingtext"/>
    <w:rsid w:val="00475E76"/>
    <w:rPr>
      <w:rFonts w:ascii="Arial" w:eastAsia="Times New Roman" w:hAnsi="Arial" w:cs="Arial"/>
      <w:szCs w:val="24"/>
    </w:rPr>
  </w:style>
  <w:style w:type="paragraph" w:customStyle="1" w:styleId="Briefingheading1">
    <w:name w:val="Briefing heading 1"/>
    <w:basedOn w:val="Briefingtext"/>
    <w:next w:val="Briefingtext"/>
    <w:link w:val="Briefingheading1Char"/>
    <w:rsid w:val="00475E76"/>
    <w:pPr>
      <w:keepNext/>
      <w:spacing w:before="240"/>
    </w:pPr>
    <w:rPr>
      <w:b/>
      <w:sz w:val="24"/>
      <w:u w:val="single"/>
    </w:rPr>
  </w:style>
  <w:style w:type="paragraph" w:customStyle="1" w:styleId="Title1">
    <w:name w:val="Title 1"/>
    <w:basedOn w:val="Briefingheading1"/>
    <w:link w:val="Title1Char"/>
    <w:qFormat/>
    <w:rsid w:val="00475E76"/>
    <w:pPr>
      <w:numPr>
        <w:numId w:val="18"/>
      </w:numPr>
      <w:spacing w:before="120" w:after="120"/>
    </w:pPr>
    <w:rPr>
      <w:rFonts w:cs="Times New Roman"/>
      <w:b w:val="0"/>
      <w:color w:val="325BAA"/>
      <w:sz w:val="32"/>
      <w:szCs w:val="32"/>
      <w:u w:val="none"/>
    </w:rPr>
  </w:style>
  <w:style w:type="paragraph" w:customStyle="1" w:styleId="Title2">
    <w:name w:val="Title 2µ"/>
    <w:basedOn w:val="Briefingheading1"/>
    <w:link w:val="Title2Char"/>
    <w:qFormat/>
    <w:rsid w:val="00475E76"/>
    <w:pPr>
      <w:numPr>
        <w:ilvl w:val="1"/>
        <w:numId w:val="18"/>
      </w:numPr>
      <w:spacing w:before="120" w:after="120"/>
    </w:pPr>
    <w:rPr>
      <w:rFonts w:cs="Times New Roman"/>
      <w:color w:val="325BAA"/>
      <w:u w:val="none"/>
    </w:rPr>
  </w:style>
  <w:style w:type="character" w:customStyle="1" w:styleId="Briefingheading1Char">
    <w:name w:val="Briefing heading 1 Char"/>
    <w:link w:val="Briefingheading1"/>
    <w:rsid w:val="00475E76"/>
    <w:rPr>
      <w:rFonts w:ascii="Arial" w:eastAsia="Times New Roman" w:hAnsi="Arial" w:cs="Arial"/>
      <w:b/>
      <w:sz w:val="24"/>
      <w:szCs w:val="24"/>
      <w:u w:val="single"/>
    </w:rPr>
  </w:style>
  <w:style w:type="character" w:customStyle="1" w:styleId="Title1Char">
    <w:name w:val="Title 1 Char"/>
    <w:link w:val="Title1"/>
    <w:rsid w:val="00475E76"/>
    <w:rPr>
      <w:rFonts w:ascii="Arial" w:eastAsia="Times New Roman" w:hAnsi="Arial" w:cs="Times New Roman"/>
      <w:color w:val="325BAA"/>
      <w:sz w:val="32"/>
      <w:szCs w:val="32"/>
    </w:rPr>
  </w:style>
  <w:style w:type="character" w:customStyle="1" w:styleId="Title2Char">
    <w:name w:val="Title 2µ Char"/>
    <w:link w:val="Title2"/>
    <w:rsid w:val="00475E76"/>
    <w:rPr>
      <w:rFonts w:ascii="Arial" w:eastAsia="Times New Roman" w:hAnsi="Arial" w:cs="Times New Roman"/>
      <w:b/>
      <w:color w:val="325BAA"/>
      <w:sz w:val="24"/>
      <w:szCs w:val="24"/>
    </w:rPr>
  </w:style>
  <w:style w:type="paragraph" w:customStyle="1" w:styleId="bullettext">
    <w:name w:val="bullet text"/>
    <w:basedOn w:val="Body"/>
    <w:link w:val="bullettextChar"/>
    <w:qFormat/>
    <w:rsid w:val="00475E76"/>
    <w:pPr>
      <w:numPr>
        <w:numId w:val="19"/>
      </w:numPr>
      <w:spacing w:before="120" w:after="120"/>
    </w:pPr>
    <w:rPr>
      <w:szCs w:val="24"/>
    </w:rPr>
  </w:style>
  <w:style w:type="character" w:customStyle="1" w:styleId="bullettextChar">
    <w:name w:val="bullet text Char"/>
    <w:basedOn w:val="BodyChar"/>
    <w:link w:val="bullettext"/>
    <w:rsid w:val="00475E76"/>
    <w:rPr>
      <w:rFonts w:ascii="Arial" w:eastAsia="Times New Roman" w:hAnsi="Arial" w:cs="Times New Roman"/>
      <w:noProof/>
      <w:szCs w:val="24"/>
    </w:rPr>
  </w:style>
  <w:style w:type="paragraph" w:customStyle="1" w:styleId="Boxtitle">
    <w:name w:val="Box title"/>
    <w:basedOn w:val="Normal"/>
    <w:link w:val="BoxtitleChar"/>
    <w:qFormat/>
    <w:rsid w:val="00475E76"/>
    <w:pPr>
      <w:spacing w:line="240" w:lineRule="auto"/>
      <w:ind w:right="143"/>
      <w:jc w:val="both"/>
    </w:pPr>
    <w:rPr>
      <w:rFonts w:ascii="Arial" w:eastAsia="Times New Roman" w:hAnsi="Arial" w:cs="Arial"/>
      <w:b/>
      <w:color w:val="1F497D" w:themeColor="text2"/>
      <w:sz w:val="24"/>
      <w:szCs w:val="20"/>
    </w:rPr>
  </w:style>
  <w:style w:type="character" w:customStyle="1" w:styleId="BoxtitleChar">
    <w:name w:val="Box title Char"/>
    <w:basedOn w:val="VarsaylanParagrafYazTipi"/>
    <w:link w:val="Boxtitle"/>
    <w:rsid w:val="00475E76"/>
    <w:rPr>
      <w:rFonts w:ascii="Arial" w:eastAsia="Times New Roman" w:hAnsi="Arial" w:cs="Arial"/>
      <w:b/>
      <w:color w:val="1F497D" w:themeColor="text2"/>
      <w:sz w:val="24"/>
      <w:szCs w:val="20"/>
    </w:rPr>
  </w:style>
  <w:style w:type="character" w:customStyle="1" w:styleId="Balk1Char">
    <w:name w:val="Başlık 1 Char"/>
    <w:basedOn w:val="VarsaylanParagrafYazTipi"/>
    <w:link w:val="Balk1"/>
    <w:uiPriority w:val="9"/>
    <w:rsid w:val="00512CA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512CA4"/>
    <w:pPr>
      <w:spacing w:line="259" w:lineRule="auto"/>
      <w:outlineLvl w:val="9"/>
    </w:pPr>
    <w:rPr>
      <w:lang w:val="en-US"/>
    </w:rPr>
  </w:style>
  <w:style w:type="paragraph" w:styleId="KonuBal">
    <w:name w:val="Title"/>
    <w:basedOn w:val="Normal"/>
    <w:next w:val="Normal"/>
    <w:link w:val="KonuBalChar"/>
    <w:uiPriority w:val="10"/>
    <w:qFormat/>
    <w:rsid w:val="00512C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2CA4"/>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512CA4"/>
    <w:rPr>
      <w:rFonts w:asciiTheme="majorHAnsi" w:eastAsiaTheme="majorEastAsia" w:hAnsiTheme="majorHAnsi" w:cstheme="majorBidi"/>
      <w:color w:val="365F91" w:themeColor="accent1" w:themeShade="BF"/>
      <w:sz w:val="26"/>
      <w:szCs w:val="26"/>
    </w:rPr>
  </w:style>
  <w:style w:type="character" w:styleId="SatrNumaras">
    <w:name w:val="line number"/>
    <w:basedOn w:val="VarsaylanParagrafYazTipi"/>
    <w:uiPriority w:val="99"/>
    <w:semiHidden/>
    <w:unhideWhenUsed/>
    <w:rsid w:val="0038129F"/>
  </w:style>
  <w:style w:type="paragraph" w:customStyle="1" w:styleId="xmsolistparagraph">
    <w:name w:val="x_msolistparagraph"/>
    <w:basedOn w:val="Normal"/>
    <w:rsid w:val="00997032"/>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zlenenKpr">
    <w:name w:val="FollowedHyperlink"/>
    <w:basedOn w:val="VarsaylanParagrafYazTipi"/>
    <w:uiPriority w:val="99"/>
    <w:semiHidden/>
    <w:unhideWhenUsed/>
    <w:rsid w:val="00116163"/>
    <w:rPr>
      <w:color w:val="800080" w:themeColor="followedHyperlink"/>
      <w:u w:val="single"/>
    </w:rPr>
  </w:style>
  <w:style w:type="character" w:customStyle="1" w:styleId="Marker2">
    <w:name w:val="Marker2"/>
    <w:basedOn w:val="VarsaylanParagrafYazTipi"/>
    <w:rsid w:val="005B3E18"/>
    <w:rPr>
      <w:color w:val="FF0000"/>
      <w:shd w:val="clear" w:color="auto" w:fill="auto"/>
    </w:rPr>
  </w:style>
  <w:style w:type="paragraph" w:customStyle="1" w:styleId="Datedadoption">
    <w:name w:val="Date d'adoption"/>
    <w:basedOn w:val="Normal"/>
    <w:next w:val="Titreobjet"/>
    <w:rsid w:val="005B3E18"/>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5B3E18"/>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5B3E18"/>
    <w:pPr>
      <w:spacing w:before="360"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6483">
      <w:bodyDiv w:val="1"/>
      <w:marLeft w:val="0"/>
      <w:marRight w:val="0"/>
      <w:marTop w:val="0"/>
      <w:marBottom w:val="0"/>
      <w:divBdr>
        <w:top w:val="none" w:sz="0" w:space="0" w:color="auto"/>
        <w:left w:val="none" w:sz="0" w:space="0" w:color="auto"/>
        <w:bottom w:val="none" w:sz="0" w:space="0" w:color="auto"/>
        <w:right w:val="none" w:sz="0" w:space="0" w:color="auto"/>
      </w:divBdr>
    </w:div>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267932483">
      <w:bodyDiv w:val="1"/>
      <w:marLeft w:val="0"/>
      <w:marRight w:val="0"/>
      <w:marTop w:val="0"/>
      <w:marBottom w:val="0"/>
      <w:divBdr>
        <w:top w:val="none" w:sz="0" w:space="0" w:color="auto"/>
        <w:left w:val="none" w:sz="0" w:space="0" w:color="auto"/>
        <w:bottom w:val="none" w:sz="0" w:space="0" w:color="auto"/>
        <w:right w:val="none" w:sz="0" w:space="0" w:color="auto"/>
      </w:divBdr>
    </w:div>
    <w:div w:id="272327964">
      <w:bodyDiv w:val="1"/>
      <w:marLeft w:val="0"/>
      <w:marRight w:val="0"/>
      <w:marTop w:val="0"/>
      <w:marBottom w:val="0"/>
      <w:divBdr>
        <w:top w:val="none" w:sz="0" w:space="0" w:color="auto"/>
        <w:left w:val="none" w:sz="0" w:space="0" w:color="auto"/>
        <w:bottom w:val="none" w:sz="0" w:space="0" w:color="auto"/>
        <w:right w:val="none" w:sz="0" w:space="0" w:color="auto"/>
      </w:divBdr>
    </w:div>
    <w:div w:id="296759668">
      <w:bodyDiv w:val="1"/>
      <w:marLeft w:val="0"/>
      <w:marRight w:val="0"/>
      <w:marTop w:val="0"/>
      <w:marBottom w:val="0"/>
      <w:divBdr>
        <w:top w:val="none" w:sz="0" w:space="0" w:color="auto"/>
        <w:left w:val="none" w:sz="0" w:space="0" w:color="auto"/>
        <w:bottom w:val="none" w:sz="0" w:space="0" w:color="auto"/>
        <w:right w:val="none" w:sz="0" w:space="0" w:color="auto"/>
      </w:divBdr>
    </w:div>
    <w:div w:id="369302137">
      <w:bodyDiv w:val="1"/>
      <w:marLeft w:val="0"/>
      <w:marRight w:val="0"/>
      <w:marTop w:val="0"/>
      <w:marBottom w:val="0"/>
      <w:divBdr>
        <w:top w:val="none" w:sz="0" w:space="0" w:color="auto"/>
        <w:left w:val="none" w:sz="0" w:space="0" w:color="auto"/>
        <w:bottom w:val="none" w:sz="0" w:space="0" w:color="auto"/>
        <w:right w:val="none" w:sz="0" w:space="0" w:color="auto"/>
      </w:divBdr>
    </w:div>
    <w:div w:id="373386542">
      <w:bodyDiv w:val="1"/>
      <w:marLeft w:val="0"/>
      <w:marRight w:val="0"/>
      <w:marTop w:val="0"/>
      <w:marBottom w:val="0"/>
      <w:divBdr>
        <w:top w:val="none" w:sz="0" w:space="0" w:color="auto"/>
        <w:left w:val="none" w:sz="0" w:space="0" w:color="auto"/>
        <w:bottom w:val="none" w:sz="0" w:space="0" w:color="auto"/>
        <w:right w:val="none" w:sz="0" w:space="0" w:color="auto"/>
      </w:divBdr>
    </w:div>
    <w:div w:id="382559604">
      <w:bodyDiv w:val="1"/>
      <w:marLeft w:val="0"/>
      <w:marRight w:val="0"/>
      <w:marTop w:val="0"/>
      <w:marBottom w:val="0"/>
      <w:divBdr>
        <w:top w:val="none" w:sz="0" w:space="0" w:color="auto"/>
        <w:left w:val="none" w:sz="0" w:space="0" w:color="auto"/>
        <w:bottom w:val="none" w:sz="0" w:space="0" w:color="auto"/>
        <w:right w:val="none" w:sz="0" w:space="0" w:color="auto"/>
      </w:divBdr>
    </w:div>
    <w:div w:id="456489077">
      <w:bodyDiv w:val="1"/>
      <w:marLeft w:val="0"/>
      <w:marRight w:val="0"/>
      <w:marTop w:val="0"/>
      <w:marBottom w:val="0"/>
      <w:divBdr>
        <w:top w:val="none" w:sz="0" w:space="0" w:color="auto"/>
        <w:left w:val="none" w:sz="0" w:space="0" w:color="auto"/>
        <w:bottom w:val="none" w:sz="0" w:space="0" w:color="auto"/>
        <w:right w:val="none" w:sz="0" w:space="0" w:color="auto"/>
      </w:divBdr>
    </w:div>
    <w:div w:id="485171973">
      <w:bodyDiv w:val="1"/>
      <w:marLeft w:val="0"/>
      <w:marRight w:val="0"/>
      <w:marTop w:val="0"/>
      <w:marBottom w:val="0"/>
      <w:divBdr>
        <w:top w:val="none" w:sz="0" w:space="0" w:color="auto"/>
        <w:left w:val="none" w:sz="0" w:space="0" w:color="auto"/>
        <w:bottom w:val="none" w:sz="0" w:space="0" w:color="auto"/>
        <w:right w:val="none" w:sz="0" w:space="0" w:color="auto"/>
      </w:divBdr>
    </w:div>
    <w:div w:id="534850296">
      <w:bodyDiv w:val="1"/>
      <w:marLeft w:val="0"/>
      <w:marRight w:val="0"/>
      <w:marTop w:val="0"/>
      <w:marBottom w:val="0"/>
      <w:divBdr>
        <w:top w:val="none" w:sz="0" w:space="0" w:color="auto"/>
        <w:left w:val="none" w:sz="0" w:space="0" w:color="auto"/>
        <w:bottom w:val="none" w:sz="0" w:space="0" w:color="auto"/>
        <w:right w:val="none" w:sz="0" w:space="0" w:color="auto"/>
      </w:divBdr>
    </w:div>
    <w:div w:id="539516285">
      <w:bodyDiv w:val="1"/>
      <w:marLeft w:val="0"/>
      <w:marRight w:val="0"/>
      <w:marTop w:val="0"/>
      <w:marBottom w:val="0"/>
      <w:divBdr>
        <w:top w:val="none" w:sz="0" w:space="0" w:color="auto"/>
        <w:left w:val="none" w:sz="0" w:space="0" w:color="auto"/>
        <w:bottom w:val="none" w:sz="0" w:space="0" w:color="auto"/>
        <w:right w:val="none" w:sz="0" w:space="0" w:color="auto"/>
      </w:divBdr>
    </w:div>
    <w:div w:id="551505911">
      <w:bodyDiv w:val="1"/>
      <w:marLeft w:val="0"/>
      <w:marRight w:val="0"/>
      <w:marTop w:val="0"/>
      <w:marBottom w:val="0"/>
      <w:divBdr>
        <w:top w:val="none" w:sz="0" w:space="0" w:color="auto"/>
        <w:left w:val="none" w:sz="0" w:space="0" w:color="auto"/>
        <w:bottom w:val="none" w:sz="0" w:space="0" w:color="auto"/>
        <w:right w:val="none" w:sz="0" w:space="0" w:color="auto"/>
      </w:divBdr>
    </w:div>
    <w:div w:id="599292111">
      <w:bodyDiv w:val="1"/>
      <w:marLeft w:val="0"/>
      <w:marRight w:val="0"/>
      <w:marTop w:val="0"/>
      <w:marBottom w:val="0"/>
      <w:divBdr>
        <w:top w:val="none" w:sz="0" w:space="0" w:color="auto"/>
        <w:left w:val="none" w:sz="0" w:space="0" w:color="auto"/>
        <w:bottom w:val="none" w:sz="0" w:space="0" w:color="auto"/>
        <w:right w:val="none" w:sz="0" w:space="0" w:color="auto"/>
      </w:divBdr>
    </w:div>
    <w:div w:id="651909387">
      <w:bodyDiv w:val="1"/>
      <w:marLeft w:val="0"/>
      <w:marRight w:val="0"/>
      <w:marTop w:val="0"/>
      <w:marBottom w:val="0"/>
      <w:divBdr>
        <w:top w:val="none" w:sz="0" w:space="0" w:color="auto"/>
        <w:left w:val="none" w:sz="0" w:space="0" w:color="auto"/>
        <w:bottom w:val="none" w:sz="0" w:space="0" w:color="auto"/>
        <w:right w:val="none" w:sz="0" w:space="0" w:color="auto"/>
      </w:divBdr>
    </w:div>
    <w:div w:id="794757346">
      <w:bodyDiv w:val="1"/>
      <w:marLeft w:val="0"/>
      <w:marRight w:val="0"/>
      <w:marTop w:val="0"/>
      <w:marBottom w:val="0"/>
      <w:divBdr>
        <w:top w:val="none" w:sz="0" w:space="0" w:color="auto"/>
        <w:left w:val="none" w:sz="0" w:space="0" w:color="auto"/>
        <w:bottom w:val="none" w:sz="0" w:space="0" w:color="auto"/>
        <w:right w:val="none" w:sz="0" w:space="0" w:color="auto"/>
      </w:divBdr>
    </w:div>
    <w:div w:id="805782841">
      <w:bodyDiv w:val="1"/>
      <w:marLeft w:val="0"/>
      <w:marRight w:val="0"/>
      <w:marTop w:val="0"/>
      <w:marBottom w:val="0"/>
      <w:divBdr>
        <w:top w:val="none" w:sz="0" w:space="0" w:color="auto"/>
        <w:left w:val="none" w:sz="0" w:space="0" w:color="auto"/>
        <w:bottom w:val="none" w:sz="0" w:space="0" w:color="auto"/>
        <w:right w:val="none" w:sz="0" w:space="0" w:color="auto"/>
      </w:divBdr>
    </w:div>
    <w:div w:id="817889301">
      <w:bodyDiv w:val="1"/>
      <w:marLeft w:val="0"/>
      <w:marRight w:val="0"/>
      <w:marTop w:val="0"/>
      <w:marBottom w:val="0"/>
      <w:divBdr>
        <w:top w:val="none" w:sz="0" w:space="0" w:color="auto"/>
        <w:left w:val="none" w:sz="0" w:space="0" w:color="auto"/>
        <w:bottom w:val="none" w:sz="0" w:space="0" w:color="auto"/>
        <w:right w:val="none" w:sz="0" w:space="0" w:color="auto"/>
      </w:divBdr>
    </w:div>
    <w:div w:id="819494589">
      <w:bodyDiv w:val="1"/>
      <w:marLeft w:val="0"/>
      <w:marRight w:val="0"/>
      <w:marTop w:val="0"/>
      <w:marBottom w:val="0"/>
      <w:divBdr>
        <w:top w:val="none" w:sz="0" w:space="0" w:color="auto"/>
        <w:left w:val="none" w:sz="0" w:space="0" w:color="auto"/>
        <w:bottom w:val="none" w:sz="0" w:space="0" w:color="auto"/>
        <w:right w:val="none" w:sz="0" w:space="0" w:color="auto"/>
      </w:divBdr>
    </w:div>
    <w:div w:id="824593931">
      <w:bodyDiv w:val="1"/>
      <w:marLeft w:val="0"/>
      <w:marRight w:val="0"/>
      <w:marTop w:val="0"/>
      <w:marBottom w:val="0"/>
      <w:divBdr>
        <w:top w:val="none" w:sz="0" w:space="0" w:color="auto"/>
        <w:left w:val="none" w:sz="0" w:space="0" w:color="auto"/>
        <w:bottom w:val="none" w:sz="0" w:space="0" w:color="auto"/>
        <w:right w:val="none" w:sz="0" w:space="0" w:color="auto"/>
      </w:divBdr>
    </w:div>
    <w:div w:id="880701768">
      <w:bodyDiv w:val="1"/>
      <w:marLeft w:val="0"/>
      <w:marRight w:val="0"/>
      <w:marTop w:val="0"/>
      <w:marBottom w:val="0"/>
      <w:divBdr>
        <w:top w:val="none" w:sz="0" w:space="0" w:color="auto"/>
        <w:left w:val="none" w:sz="0" w:space="0" w:color="auto"/>
        <w:bottom w:val="none" w:sz="0" w:space="0" w:color="auto"/>
        <w:right w:val="none" w:sz="0" w:space="0" w:color="auto"/>
      </w:divBdr>
    </w:div>
    <w:div w:id="911282953">
      <w:bodyDiv w:val="1"/>
      <w:marLeft w:val="0"/>
      <w:marRight w:val="0"/>
      <w:marTop w:val="0"/>
      <w:marBottom w:val="0"/>
      <w:divBdr>
        <w:top w:val="none" w:sz="0" w:space="0" w:color="auto"/>
        <w:left w:val="none" w:sz="0" w:space="0" w:color="auto"/>
        <w:bottom w:val="none" w:sz="0" w:space="0" w:color="auto"/>
        <w:right w:val="none" w:sz="0" w:space="0" w:color="auto"/>
      </w:divBdr>
    </w:div>
    <w:div w:id="932785149">
      <w:bodyDiv w:val="1"/>
      <w:marLeft w:val="0"/>
      <w:marRight w:val="0"/>
      <w:marTop w:val="0"/>
      <w:marBottom w:val="0"/>
      <w:divBdr>
        <w:top w:val="none" w:sz="0" w:space="0" w:color="auto"/>
        <w:left w:val="none" w:sz="0" w:space="0" w:color="auto"/>
        <w:bottom w:val="none" w:sz="0" w:space="0" w:color="auto"/>
        <w:right w:val="none" w:sz="0" w:space="0" w:color="auto"/>
      </w:divBdr>
    </w:div>
    <w:div w:id="997458600">
      <w:bodyDiv w:val="1"/>
      <w:marLeft w:val="0"/>
      <w:marRight w:val="0"/>
      <w:marTop w:val="0"/>
      <w:marBottom w:val="0"/>
      <w:divBdr>
        <w:top w:val="none" w:sz="0" w:space="0" w:color="auto"/>
        <w:left w:val="none" w:sz="0" w:space="0" w:color="auto"/>
        <w:bottom w:val="none" w:sz="0" w:space="0" w:color="auto"/>
        <w:right w:val="none" w:sz="0" w:space="0" w:color="auto"/>
      </w:divBdr>
    </w:div>
    <w:div w:id="1122116602">
      <w:bodyDiv w:val="1"/>
      <w:marLeft w:val="0"/>
      <w:marRight w:val="0"/>
      <w:marTop w:val="0"/>
      <w:marBottom w:val="0"/>
      <w:divBdr>
        <w:top w:val="none" w:sz="0" w:space="0" w:color="auto"/>
        <w:left w:val="none" w:sz="0" w:space="0" w:color="auto"/>
        <w:bottom w:val="none" w:sz="0" w:space="0" w:color="auto"/>
        <w:right w:val="none" w:sz="0" w:space="0" w:color="auto"/>
      </w:divBdr>
    </w:div>
    <w:div w:id="1124271170">
      <w:bodyDiv w:val="1"/>
      <w:marLeft w:val="0"/>
      <w:marRight w:val="0"/>
      <w:marTop w:val="0"/>
      <w:marBottom w:val="0"/>
      <w:divBdr>
        <w:top w:val="none" w:sz="0" w:space="0" w:color="auto"/>
        <w:left w:val="none" w:sz="0" w:space="0" w:color="auto"/>
        <w:bottom w:val="none" w:sz="0" w:space="0" w:color="auto"/>
        <w:right w:val="none" w:sz="0" w:space="0" w:color="auto"/>
      </w:divBdr>
    </w:div>
    <w:div w:id="1291782076">
      <w:bodyDiv w:val="1"/>
      <w:marLeft w:val="0"/>
      <w:marRight w:val="0"/>
      <w:marTop w:val="0"/>
      <w:marBottom w:val="0"/>
      <w:divBdr>
        <w:top w:val="none" w:sz="0" w:space="0" w:color="auto"/>
        <w:left w:val="none" w:sz="0" w:space="0" w:color="auto"/>
        <w:bottom w:val="none" w:sz="0" w:space="0" w:color="auto"/>
        <w:right w:val="none" w:sz="0" w:space="0" w:color="auto"/>
      </w:divBdr>
    </w:div>
    <w:div w:id="1292516081">
      <w:bodyDiv w:val="1"/>
      <w:marLeft w:val="0"/>
      <w:marRight w:val="0"/>
      <w:marTop w:val="0"/>
      <w:marBottom w:val="0"/>
      <w:divBdr>
        <w:top w:val="none" w:sz="0" w:space="0" w:color="auto"/>
        <w:left w:val="none" w:sz="0" w:space="0" w:color="auto"/>
        <w:bottom w:val="none" w:sz="0" w:space="0" w:color="auto"/>
        <w:right w:val="none" w:sz="0" w:space="0" w:color="auto"/>
      </w:divBdr>
    </w:div>
    <w:div w:id="1320958254">
      <w:bodyDiv w:val="1"/>
      <w:marLeft w:val="0"/>
      <w:marRight w:val="0"/>
      <w:marTop w:val="0"/>
      <w:marBottom w:val="0"/>
      <w:divBdr>
        <w:top w:val="none" w:sz="0" w:space="0" w:color="auto"/>
        <w:left w:val="none" w:sz="0" w:space="0" w:color="auto"/>
        <w:bottom w:val="none" w:sz="0" w:space="0" w:color="auto"/>
        <w:right w:val="none" w:sz="0" w:space="0" w:color="auto"/>
      </w:divBdr>
    </w:div>
    <w:div w:id="1326740831">
      <w:bodyDiv w:val="1"/>
      <w:marLeft w:val="0"/>
      <w:marRight w:val="0"/>
      <w:marTop w:val="0"/>
      <w:marBottom w:val="0"/>
      <w:divBdr>
        <w:top w:val="none" w:sz="0" w:space="0" w:color="auto"/>
        <w:left w:val="none" w:sz="0" w:space="0" w:color="auto"/>
        <w:bottom w:val="none" w:sz="0" w:space="0" w:color="auto"/>
        <w:right w:val="none" w:sz="0" w:space="0" w:color="auto"/>
      </w:divBdr>
    </w:div>
    <w:div w:id="1327241313">
      <w:bodyDiv w:val="1"/>
      <w:marLeft w:val="0"/>
      <w:marRight w:val="0"/>
      <w:marTop w:val="0"/>
      <w:marBottom w:val="0"/>
      <w:divBdr>
        <w:top w:val="none" w:sz="0" w:space="0" w:color="auto"/>
        <w:left w:val="none" w:sz="0" w:space="0" w:color="auto"/>
        <w:bottom w:val="none" w:sz="0" w:space="0" w:color="auto"/>
        <w:right w:val="none" w:sz="0" w:space="0" w:color="auto"/>
      </w:divBdr>
    </w:div>
    <w:div w:id="1353612400">
      <w:bodyDiv w:val="1"/>
      <w:marLeft w:val="0"/>
      <w:marRight w:val="0"/>
      <w:marTop w:val="0"/>
      <w:marBottom w:val="0"/>
      <w:divBdr>
        <w:top w:val="none" w:sz="0" w:space="0" w:color="auto"/>
        <w:left w:val="none" w:sz="0" w:space="0" w:color="auto"/>
        <w:bottom w:val="none" w:sz="0" w:space="0" w:color="auto"/>
        <w:right w:val="none" w:sz="0" w:space="0" w:color="auto"/>
      </w:divBdr>
    </w:div>
    <w:div w:id="1385788937">
      <w:bodyDiv w:val="1"/>
      <w:marLeft w:val="0"/>
      <w:marRight w:val="0"/>
      <w:marTop w:val="0"/>
      <w:marBottom w:val="0"/>
      <w:divBdr>
        <w:top w:val="none" w:sz="0" w:space="0" w:color="auto"/>
        <w:left w:val="none" w:sz="0" w:space="0" w:color="auto"/>
        <w:bottom w:val="none" w:sz="0" w:space="0" w:color="auto"/>
        <w:right w:val="none" w:sz="0" w:space="0" w:color="auto"/>
      </w:divBdr>
    </w:div>
    <w:div w:id="1481918135">
      <w:bodyDiv w:val="1"/>
      <w:marLeft w:val="0"/>
      <w:marRight w:val="0"/>
      <w:marTop w:val="0"/>
      <w:marBottom w:val="0"/>
      <w:divBdr>
        <w:top w:val="none" w:sz="0" w:space="0" w:color="auto"/>
        <w:left w:val="none" w:sz="0" w:space="0" w:color="auto"/>
        <w:bottom w:val="none" w:sz="0" w:space="0" w:color="auto"/>
        <w:right w:val="none" w:sz="0" w:space="0" w:color="auto"/>
      </w:divBdr>
    </w:div>
    <w:div w:id="1491864477">
      <w:bodyDiv w:val="1"/>
      <w:marLeft w:val="0"/>
      <w:marRight w:val="0"/>
      <w:marTop w:val="0"/>
      <w:marBottom w:val="0"/>
      <w:divBdr>
        <w:top w:val="none" w:sz="0" w:space="0" w:color="auto"/>
        <w:left w:val="none" w:sz="0" w:space="0" w:color="auto"/>
        <w:bottom w:val="none" w:sz="0" w:space="0" w:color="auto"/>
        <w:right w:val="none" w:sz="0" w:space="0" w:color="auto"/>
      </w:divBdr>
    </w:div>
    <w:div w:id="1632125113">
      <w:bodyDiv w:val="1"/>
      <w:marLeft w:val="0"/>
      <w:marRight w:val="0"/>
      <w:marTop w:val="0"/>
      <w:marBottom w:val="0"/>
      <w:divBdr>
        <w:top w:val="none" w:sz="0" w:space="0" w:color="auto"/>
        <w:left w:val="none" w:sz="0" w:space="0" w:color="auto"/>
        <w:bottom w:val="none" w:sz="0" w:space="0" w:color="auto"/>
        <w:right w:val="none" w:sz="0" w:space="0" w:color="auto"/>
      </w:divBdr>
    </w:div>
    <w:div w:id="1634630275">
      <w:bodyDiv w:val="1"/>
      <w:marLeft w:val="0"/>
      <w:marRight w:val="0"/>
      <w:marTop w:val="0"/>
      <w:marBottom w:val="0"/>
      <w:divBdr>
        <w:top w:val="none" w:sz="0" w:space="0" w:color="auto"/>
        <w:left w:val="none" w:sz="0" w:space="0" w:color="auto"/>
        <w:bottom w:val="none" w:sz="0" w:space="0" w:color="auto"/>
        <w:right w:val="none" w:sz="0" w:space="0" w:color="auto"/>
      </w:divBdr>
    </w:div>
    <w:div w:id="1635211531">
      <w:bodyDiv w:val="1"/>
      <w:marLeft w:val="0"/>
      <w:marRight w:val="0"/>
      <w:marTop w:val="0"/>
      <w:marBottom w:val="0"/>
      <w:divBdr>
        <w:top w:val="none" w:sz="0" w:space="0" w:color="auto"/>
        <w:left w:val="none" w:sz="0" w:space="0" w:color="auto"/>
        <w:bottom w:val="none" w:sz="0" w:space="0" w:color="auto"/>
        <w:right w:val="none" w:sz="0" w:space="0" w:color="auto"/>
      </w:divBdr>
    </w:div>
    <w:div w:id="1667589352">
      <w:bodyDiv w:val="1"/>
      <w:marLeft w:val="0"/>
      <w:marRight w:val="0"/>
      <w:marTop w:val="0"/>
      <w:marBottom w:val="0"/>
      <w:divBdr>
        <w:top w:val="none" w:sz="0" w:space="0" w:color="auto"/>
        <w:left w:val="none" w:sz="0" w:space="0" w:color="auto"/>
        <w:bottom w:val="none" w:sz="0" w:space="0" w:color="auto"/>
        <w:right w:val="none" w:sz="0" w:space="0" w:color="auto"/>
      </w:divBdr>
    </w:div>
    <w:div w:id="1707682383">
      <w:bodyDiv w:val="1"/>
      <w:marLeft w:val="0"/>
      <w:marRight w:val="0"/>
      <w:marTop w:val="0"/>
      <w:marBottom w:val="0"/>
      <w:divBdr>
        <w:top w:val="none" w:sz="0" w:space="0" w:color="auto"/>
        <w:left w:val="none" w:sz="0" w:space="0" w:color="auto"/>
        <w:bottom w:val="none" w:sz="0" w:space="0" w:color="auto"/>
        <w:right w:val="none" w:sz="0" w:space="0" w:color="auto"/>
      </w:divBdr>
    </w:div>
    <w:div w:id="1736275091">
      <w:bodyDiv w:val="1"/>
      <w:marLeft w:val="0"/>
      <w:marRight w:val="0"/>
      <w:marTop w:val="0"/>
      <w:marBottom w:val="0"/>
      <w:divBdr>
        <w:top w:val="none" w:sz="0" w:space="0" w:color="auto"/>
        <w:left w:val="none" w:sz="0" w:space="0" w:color="auto"/>
        <w:bottom w:val="none" w:sz="0" w:space="0" w:color="auto"/>
        <w:right w:val="none" w:sz="0" w:space="0" w:color="auto"/>
      </w:divBdr>
    </w:div>
    <w:div w:id="1739405245">
      <w:bodyDiv w:val="1"/>
      <w:marLeft w:val="0"/>
      <w:marRight w:val="0"/>
      <w:marTop w:val="0"/>
      <w:marBottom w:val="0"/>
      <w:divBdr>
        <w:top w:val="none" w:sz="0" w:space="0" w:color="auto"/>
        <w:left w:val="none" w:sz="0" w:space="0" w:color="auto"/>
        <w:bottom w:val="none" w:sz="0" w:space="0" w:color="auto"/>
        <w:right w:val="none" w:sz="0" w:space="0" w:color="auto"/>
      </w:divBdr>
    </w:div>
    <w:div w:id="1914897309">
      <w:bodyDiv w:val="1"/>
      <w:marLeft w:val="0"/>
      <w:marRight w:val="0"/>
      <w:marTop w:val="0"/>
      <w:marBottom w:val="0"/>
      <w:divBdr>
        <w:top w:val="none" w:sz="0" w:space="0" w:color="auto"/>
        <w:left w:val="none" w:sz="0" w:space="0" w:color="auto"/>
        <w:bottom w:val="none" w:sz="0" w:space="0" w:color="auto"/>
        <w:right w:val="none" w:sz="0" w:space="0" w:color="auto"/>
      </w:divBdr>
    </w:div>
    <w:div w:id="1922255569">
      <w:bodyDiv w:val="1"/>
      <w:marLeft w:val="0"/>
      <w:marRight w:val="0"/>
      <w:marTop w:val="0"/>
      <w:marBottom w:val="0"/>
      <w:divBdr>
        <w:top w:val="none" w:sz="0" w:space="0" w:color="auto"/>
        <w:left w:val="none" w:sz="0" w:space="0" w:color="auto"/>
        <w:bottom w:val="none" w:sz="0" w:space="0" w:color="auto"/>
        <w:right w:val="none" w:sz="0" w:space="0" w:color="auto"/>
      </w:divBdr>
    </w:div>
    <w:div w:id="1968391681">
      <w:bodyDiv w:val="1"/>
      <w:marLeft w:val="0"/>
      <w:marRight w:val="0"/>
      <w:marTop w:val="0"/>
      <w:marBottom w:val="0"/>
      <w:divBdr>
        <w:top w:val="none" w:sz="0" w:space="0" w:color="auto"/>
        <w:left w:val="none" w:sz="0" w:space="0" w:color="auto"/>
        <w:bottom w:val="none" w:sz="0" w:space="0" w:color="auto"/>
        <w:right w:val="none" w:sz="0" w:space="0" w:color="auto"/>
      </w:divBdr>
    </w:div>
    <w:div w:id="2046981454">
      <w:bodyDiv w:val="1"/>
      <w:marLeft w:val="0"/>
      <w:marRight w:val="0"/>
      <w:marTop w:val="0"/>
      <w:marBottom w:val="0"/>
      <w:divBdr>
        <w:top w:val="none" w:sz="0" w:space="0" w:color="auto"/>
        <w:left w:val="none" w:sz="0" w:space="0" w:color="auto"/>
        <w:bottom w:val="none" w:sz="0" w:space="0" w:color="auto"/>
        <w:right w:val="none" w:sz="0" w:space="0" w:color="auto"/>
      </w:divBdr>
    </w:div>
    <w:div w:id="2116170747">
      <w:bodyDiv w:val="1"/>
      <w:marLeft w:val="0"/>
      <w:marRight w:val="0"/>
      <w:marTop w:val="0"/>
      <w:marBottom w:val="0"/>
      <w:divBdr>
        <w:top w:val="none" w:sz="0" w:space="0" w:color="auto"/>
        <w:left w:val="none" w:sz="0" w:space="0" w:color="auto"/>
        <w:bottom w:val="none" w:sz="0" w:space="0" w:color="auto"/>
        <w:right w:val="none" w:sz="0" w:space="0" w:color="auto"/>
      </w:divBdr>
    </w:div>
    <w:div w:id="21429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appsso.eurostat.ec.europa.eu/nui/show.do?dataset=isoc_sk_dskl_i&amp;lang=en"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hyperlink" Target="https://appsso.eurostat.ec.europa.eu/nui/show.do?query=BOOKMARK_DS-053798_QID_-10C2AB8C_UID_-3F171EB0&amp;layout=TIME,C,X,0;GEO,L,Y,0;INDIC_IS,L,Z,0;IND_TYPE,L,Z,1;UNIT,L,Z,2;INDICATORS,C,Z,3;&amp;zSelection=DS-053798INDICATORS,OBS_FLAG;DS-053798IND_TYPE,IND_TOTAL;DS-053798INDIC_IS,I_CPRG1;DS-053798UNIT,PC_IND;&amp;rankName1=UNIT_1_2_-1_2&amp;rankName2=INDICATORS_1_2_-1_2&amp;rankName3=IND-TYPE_1_2_-1_2&amp;rankName4=INDIC-IS_1_2_0_1&amp;rankName5=TIME_1_0_0_0&amp;rankName6=GEO_1_2_0_1&amp;sortC=ASC_-1_FIRST&amp;rStp=&amp;cStp=&amp;rDCh=&amp;cDCh=&amp;rDM=true&amp;cDM=true&amp;footnes=false&amp;empty=false&amp;wai=false&amp;time_mode=ROLLING&amp;time_most_recent=false&amp;lang=EN&amp;cfo=%23%23%23%2C%23%23%23.%23%23%2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development.un.org/content/documents/21252030%20Agenda%20for%20Sustainable%20Development%20web.pdf" TargetMode="External"/><Relationship Id="rId2" Type="http://schemas.openxmlformats.org/officeDocument/2006/relationships/hyperlink" Target="https://ec.europa.eu/commission/sites/beta-political/files/communication-credible-enlargement-perspective-western-balkans_en.pdf" TargetMode="External"/><Relationship Id="rId1" Type="http://schemas.openxmlformats.org/officeDocument/2006/relationships/hyperlink" Target="https://eur-lex.europa.eu/legal-content/EN/TXT/?uri=uriserv%3AOJ.LI.2020.433.01.0011.01.ENG&amp;toc=OJ%3AL%3A2020%3A433I%3ATOC" TargetMode="External"/><Relationship Id="rId4" Type="http://schemas.openxmlformats.org/officeDocument/2006/relationships/hyperlink" Target="https://eeas.europa.eu/sites/default/files/joint_communication_-_connecting_europe_and_asia_-_building_blocks_for_an_eu_strategy_2018-09-19.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E53B69-2481-47A4-8BDE-8FAF51F13C4D}" type="doc">
      <dgm:prSet loTypeId="urn:microsoft.com/office/officeart/2005/8/layout/cycle2" loCatId="cycle" qsTypeId="urn:microsoft.com/office/officeart/2005/8/quickstyle/simple4" qsCatId="simple" csTypeId="urn:microsoft.com/office/officeart/2005/8/colors/accent1_2" csCatId="accent1" phldr="1"/>
      <dgm:spPr/>
      <dgm:t>
        <a:bodyPr/>
        <a:lstStyle/>
        <a:p>
          <a:endParaRPr lang="en-US"/>
        </a:p>
      </dgm:t>
    </dgm:pt>
    <dgm:pt modelId="{7000F1C2-7778-406A-8641-4CD9B776B651}">
      <dgm:prSet phldrT="[Text]" custT="1"/>
      <dgm:spPr>
        <a:xfrm>
          <a:off x="2456232" y="1135"/>
          <a:ext cx="1693051" cy="1206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IPA III Programming Framework (Commission Decision)</a:t>
          </a:r>
          <a:endParaRPr lang="en-US" sz="1400" b="1" dirty="0">
            <a:solidFill>
              <a:sysClr val="window" lastClr="FFFFFF"/>
            </a:solidFill>
            <a:latin typeface="Calibri"/>
            <a:ea typeface="+mn-ea"/>
            <a:cs typeface="+mn-cs"/>
          </a:endParaRPr>
        </a:p>
      </dgm:t>
    </dgm:pt>
    <dgm:pt modelId="{CF6B14F5-8D44-4130-985E-78F48A60926D}" type="parTrans" cxnId="{2267BC82-2EDC-4AAA-8987-A022ED028B84}">
      <dgm:prSet/>
      <dgm:spPr/>
      <dgm:t>
        <a:bodyPr/>
        <a:lstStyle/>
        <a:p>
          <a:pPr algn="ctr"/>
          <a:endParaRPr lang="en-US"/>
        </a:p>
      </dgm:t>
    </dgm:pt>
    <dgm:pt modelId="{906647E6-9977-44D5-8913-D8A86D57C2A3}" type="sibTrans" cxnId="{2267BC82-2EDC-4AAA-8987-A022ED028B84}">
      <dgm:prSet/>
      <dgm:spPr>
        <a:xfrm rot="1408969">
          <a:off x="4097019" y="791566"/>
          <a:ext cx="210741"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3D190073-725B-4105-9EDC-C8A93DC403B1}">
      <dgm:prSet phldrT="[Text]" custT="1"/>
      <dgm:spPr>
        <a:xfrm>
          <a:off x="4266437" y="787589"/>
          <a:ext cx="1693051" cy="1206280"/>
        </a:xfrm>
        <a:solidFill>
          <a:srgbClr val="C0504D">
            <a:lumMod val="60000"/>
            <a:lumOff val="40000"/>
          </a:srgbClr>
        </a:soli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Strategic Response</a:t>
          </a:r>
          <a:endParaRPr lang="en-US" sz="1400" b="1" dirty="0">
            <a:solidFill>
              <a:sysClr val="window" lastClr="FFFFFF"/>
            </a:solidFill>
            <a:latin typeface="Calibri"/>
            <a:ea typeface="+mn-ea"/>
            <a:cs typeface="+mn-cs"/>
          </a:endParaRPr>
        </a:p>
      </dgm:t>
    </dgm:pt>
    <dgm:pt modelId="{D8C4D498-FCFE-4B02-818F-D4F7484C2F10}" type="parTrans" cxnId="{1B36827C-44D2-4D55-98BF-66C33E6DB3CD}">
      <dgm:prSet/>
      <dgm:spPr/>
      <dgm:t>
        <a:bodyPr/>
        <a:lstStyle/>
        <a:p>
          <a:pPr algn="ctr"/>
          <a:endParaRPr lang="en-US"/>
        </a:p>
      </dgm:t>
    </dgm:pt>
    <dgm:pt modelId="{3D9F013E-2170-49BA-95B3-A37FBC2F6951}" type="sibTrans" cxnId="{1B36827C-44D2-4D55-98BF-66C33E6DB3CD}">
      <dgm:prSet/>
      <dgm:spPr>
        <a:xfrm rot="4826079">
          <a:off x="5111200" y="2052300"/>
          <a:ext cx="295101"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3FFCB884-E7A7-4BC5-B302-D80A3F78CDFB}">
      <dgm:prSet phldrT="[Text]" custT="1"/>
      <dgm:spPr>
        <a:xfrm>
          <a:off x="4560789" y="2534321"/>
          <a:ext cx="1693051" cy="1206280"/>
        </a:xfrm>
        <a:solidFill>
          <a:srgbClr val="F79646">
            <a:lumMod val="60000"/>
            <a:lumOff val="40000"/>
          </a:srgbClr>
        </a:soli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Relevance Assessment</a:t>
          </a:r>
          <a:endParaRPr lang="en-US" sz="1400" b="1" dirty="0">
            <a:solidFill>
              <a:sysClr val="window" lastClr="FFFFFF"/>
            </a:solidFill>
            <a:latin typeface="Calibri"/>
            <a:ea typeface="+mn-ea"/>
            <a:cs typeface="+mn-cs"/>
          </a:endParaRPr>
        </a:p>
      </dgm:t>
    </dgm:pt>
    <dgm:pt modelId="{E3D931D1-9BD5-4C60-B6ED-5A64A6E53452}" type="parTrans" cxnId="{B55855F0-C735-44F7-948B-801240D94659}">
      <dgm:prSet/>
      <dgm:spPr/>
      <dgm:t>
        <a:bodyPr/>
        <a:lstStyle/>
        <a:p>
          <a:pPr algn="ctr"/>
          <a:endParaRPr lang="en-US"/>
        </a:p>
      </dgm:t>
    </dgm:pt>
    <dgm:pt modelId="{C38F0F1C-9013-4C72-9474-C0079865C3BF}" type="sibTrans" cxnId="{B55855F0-C735-44F7-948B-801240D94659}">
      <dgm:prSet/>
      <dgm:spPr>
        <a:xfrm rot="7422566">
          <a:off x="4819623" y="3648024"/>
          <a:ext cx="222522"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96C05327-3829-408A-9B10-2455D41DFA25}">
      <dgm:prSet phldrT="[Text]" custT="1"/>
      <dgm:spPr>
        <a:xfrm>
          <a:off x="1250227" y="3973045"/>
          <a:ext cx="1693051" cy="1206280"/>
        </a:xfrm>
        <a:solidFill>
          <a:srgbClr val="F79646">
            <a:lumMod val="60000"/>
            <a:lumOff val="40000"/>
          </a:srgbClr>
        </a:soli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Maturity Assessment</a:t>
          </a:r>
          <a:endParaRPr lang="en-US" sz="1400" b="1" dirty="0">
            <a:solidFill>
              <a:sysClr val="window" lastClr="FFFFFF"/>
            </a:solidFill>
            <a:latin typeface="Calibri"/>
            <a:ea typeface="+mn-ea"/>
            <a:cs typeface="+mn-cs"/>
          </a:endParaRPr>
        </a:p>
      </dgm:t>
    </dgm:pt>
    <dgm:pt modelId="{808B5EB0-050A-41E3-96EB-98158460C451}" type="parTrans" cxnId="{2BA4E2B1-F080-46E8-B09E-CADD9E2417D6}">
      <dgm:prSet/>
      <dgm:spPr/>
      <dgm:t>
        <a:bodyPr/>
        <a:lstStyle/>
        <a:p>
          <a:pPr algn="ctr"/>
          <a:endParaRPr lang="en-US"/>
        </a:p>
      </dgm:t>
    </dgm:pt>
    <dgm:pt modelId="{CF3F8C6C-F18A-4EFF-A518-37C59D70E05D}" type="sibTrans" cxnId="{2BA4E2B1-F080-46E8-B09E-CADD9E2417D6}">
      <dgm:prSet/>
      <dgm:spPr>
        <a:xfrm rot="14379003">
          <a:off x="1590551" y="3668056"/>
          <a:ext cx="187321"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EE6FF742-B80C-4C82-B9A8-846E7A4B36EC}">
      <dgm:prSet phldrT="[Text]" custT="1"/>
      <dgm:spPr>
        <a:xfrm>
          <a:off x="419787" y="2554756"/>
          <a:ext cx="1693051" cy="1206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Commission Financing Decision</a:t>
          </a:r>
          <a:endParaRPr lang="en-US" sz="1400" b="1" dirty="0">
            <a:solidFill>
              <a:sysClr val="window" lastClr="FFFFFF"/>
            </a:solidFill>
            <a:latin typeface="Calibri"/>
            <a:ea typeface="+mn-ea"/>
            <a:cs typeface="+mn-cs"/>
          </a:endParaRPr>
        </a:p>
      </dgm:t>
    </dgm:pt>
    <dgm:pt modelId="{9D59B160-EA56-40DC-8293-83387D77DE2F}" type="parTrans" cxnId="{46B0CB28-1213-41BA-AC0A-315D63B68306}">
      <dgm:prSet/>
      <dgm:spPr/>
      <dgm:t>
        <a:bodyPr/>
        <a:lstStyle/>
        <a:p>
          <a:pPr algn="ctr"/>
          <a:endParaRPr lang="en-US"/>
        </a:p>
      </dgm:t>
    </dgm:pt>
    <dgm:pt modelId="{732A40FD-5648-4ACD-B937-0B3939E1CB8E}" type="sibTrans" cxnId="{46B0CB28-1213-41BA-AC0A-315D63B68306}">
      <dgm:prSet/>
      <dgm:spPr>
        <a:xfrm rot="16708060">
          <a:off x="1239172" y="2066036"/>
          <a:ext cx="318770"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8F3DABB2-30A3-46F1-95F7-9A63EC712867}">
      <dgm:prSet phldrT="[Text]" custT="1"/>
      <dgm:spPr>
        <a:xfrm>
          <a:off x="3600937" y="3973045"/>
          <a:ext cx="1693051" cy="1206280"/>
        </a:xfrm>
        <a:solidFill>
          <a:srgbClr val="C0504D">
            <a:lumMod val="60000"/>
            <a:lumOff val="40000"/>
          </a:srgbClr>
        </a:soli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Submission of annual or multi-annual draft Action Documents</a:t>
          </a:r>
          <a:endParaRPr lang="en-US" sz="1400" b="1" dirty="0">
            <a:solidFill>
              <a:sysClr val="window" lastClr="FFFFFF"/>
            </a:solidFill>
            <a:latin typeface="Calibri"/>
            <a:ea typeface="+mn-ea"/>
            <a:cs typeface="+mn-cs"/>
          </a:endParaRPr>
        </a:p>
      </dgm:t>
    </dgm:pt>
    <dgm:pt modelId="{4662D6C7-EADD-4B5D-BF04-55610C09357D}" type="parTrans" cxnId="{23F752AD-7E10-4F48-92DE-AE9C43C05DCB}">
      <dgm:prSet/>
      <dgm:spPr/>
      <dgm:t>
        <a:bodyPr/>
        <a:lstStyle/>
        <a:p>
          <a:pPr algn="ctr"/>
          <a:endParaRPr lang="en-US"/>
        </a:p>
      </dgm:t>
    </dgm:pt>
    <dgm:pt modelId="{2A0F08CA-5716-496E-90B8-F5B8B9A07117}" type="sibTrans" cxnId="{23F752AD-7E10-4F48-92DE-AE9C43C05DCB}">
      <dgm:prSet/>
      <dgm:spPr>
        <a:xfrm rot="10800000">
          <a:off x="3107693" y="4372625"/>
          <a:ext cx="348558"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83AE72CF-04CC-434A-BEBC-AB916D5CBE60}">
      <dgm:prSet phldrT="[Text]" custT="1"/>
      <dgm:spPr>
        <a:xfrm>
          <a:off x="686934" y="760307"/>
          <a:ext cx="1693051" cy="120628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en-US" sz="1400" b="1" dirty="0" smtClean="0">
              <a:solidFill>
                <a:sysClr val="window" lastClr="FFFFFF"/>
              </a:solidFill>
              <a:latin typeface="Calibri"/>
              <a:ea typeface="+mn-ea"/>
              <a:cs typeface="+mn-cs"/>
            </a:rPr>
            <a:t>Signature of Financing Agreement</a:t>
          </a:r>
          <a:endParaRPr lang="en-US" sz="1400" b="1" dirty="0">
            <a:solidFill>
              <a:sysClr val="window" lastClr="FFFFFF"/>
            </a:solidFill>
            <a:latin typeface="Calibri"/>
            <a:ea typeface="+mn-ea"/>
            <a:cs typeface="+mn-cs"/>
          </a:endParaRPr>
        </a:p>
      </dgm:t>
    </dgm:pt>
    <dgm:pt modelId="{3525A42C-1E98-4CBD-8156-67DAB39B37EA}" type="parTrans" cxnId="{5D38B025-D9E5-487F-B4E4-B82CFCA99749}">
      <dgm:prSet/>
      <dgm:spPr/>
      <dgm:t>
        <a:bodyPr/>
        <a:lstStyle/>
        <a:p>
          <a:pPr algn="ctr"/>
          <a:endParaRPr lang="en-US"/>
        </a:p>
      </dgm:t>
    </dgm:pt>
    <dgm:pt modelId="{F3DD0DD7-B71A-422B-9454-6012F68C4B7F}" type="sibTrans" cxnId="{5D38B025-D9E5-487F-B4E4-B82CFCA99749}">
      <dgm:prSet/>
      <dgm:spPr>
        <a:xfrm rot="20206605">
          <a:off x="2321352" y="782354"/>
          <a:ext cx="183945" cy="40711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9B252105-465F-42B5-B66E-52BE484DB8EC}" type="pres">
      <dgm:prSet presAssocID="{95E53B69-2481-47A4-8BDE-8FAF51F13C4D}" presName="cycle" presStyleCnt="0">
        <dgm:presLayoutVars>
          <dgm:dir/>
          <dgm:resizeHandles val="exact"/>
        </dgm:presLayoutVars>
      </dgm:prSet>
      <dgm:spPr/>
      <dgm:t>
        <a:bodyPr/>
        <a:lstStyle/>
        <a:p>
          <a:endParaRPr lang="en-US"/>
        </a:p>
      </dgm:t>
    </dgm:pt>
    <dgm:pt modelId="{7EA29364-9893-4359-A9D4-79733DFF1DB3}" type="pres">
      <dgm:prSet presAssocID="{7000F1C2-7778-406A-8641-4CD9B776B651}" presName="node" presStyleLbl="node1" presStyleIdx="0" presStyleCnt="7" custScaleX="140353">
        <dgm:presLayoutVars>
          <dgm:bulletEnabled val="1"/>
        </dgm:presLayoutVars>
      </dgm:prSet>
      <dgm:spPr>
        <a:prstGeom prst="ellipse">
          <a:avLst/>
        </a:prstGeom>
      </dgm:spPr>
      <dgm:t>
        <a:bodyPr/>
        <a:lstStyle/>
        <a:p>
          <a:endParaRPr lang="en-US"/>
        </a:p>
      </dgm:t>
    </dgm:pt>
    <dgm:pt modelId="{388198BE-C455-47AE-BEBD-983ADB5C3C88}" type="pres">
      <dgm:prSet presAssocID="{906647E6-9977-44D5-8913-D8A86D57C2A3}" presName="sibTrans" presStyleLbl="sibTrans2D1" presStyleIdx="0" presStyleCnt="7"/>
      <dgm:spPr>
        <a:prstGeom prst="rightArrow">
          <a:avLst>
            <a:gd name="adj1" fmla="val 60000"/>
            <a:gd name="adj2" fmla="val 50000"/>
          </a:avLst>
        </a:prstGeom>
      </dgm:spPr>
      <dgm:t>
        <a:bodyPr/>
        <a:lstStyle/>
        <a:p>
          <a:endParaRPr lang="en-US"/>
        </a:p>
      </dgm:t>
    </dgm:pt>
    <dgm:pt modelId="{064D081B-EF72-4EE5-BFBA-B604A6342A93}" type="pres">
      <dgm:prSet presAssocID="{906647E6-9977-44D5-8913-D8A86D57C2A3}" presName="connectorText" presStyleLbl="sibTrans2D1" presStyleIdx="0" presStyleCnt="7"/>
      <dgm:spPr/>
      <dgm:t>
        <a:bodyPr/>
        <a:lstStyle/>
        <a:p>
          <a:endParaRPr lang="en-US"/>
        </a:p>
      </dgm:t>
    </dgm:pt>
    <dgm:pt modelId="{93F4EDAD-BC63-4C5F-B7CB-EA4604BA6C60}" type="pres">
      <dgm:prSet presAssocID="{3D190073-725B-4105-9EDC-C8A93DC403B1}" presName="node" presStyleLbl="node1" presStyleIdx="1" presStyleCnt="7" custScaleX="140353" custRadScaleRad="106760" custRadScaleInc="11037">
        <dgm:presLayoutVars>
          <dgm:bulletEnabled val="1"/>
        </dgm:presLayoutVars>
      </dgm:prSet>
      <dgm:spPr>
        <a:prstGeom prst="ellipse">
          <a:avLst/>
        </a:prstGeom>
      </dgm:spPr>
      <dgm:t>
        <a:bodyPr/>
        <a:lstStyle/>
        <a:p>
          <a:endParaRPr lang="en-US"/>
        </a:p>
      </dgm:t>
    </dgm:pt>
    <dgm:pt modelId="{59598A55-A9FB-4A65-952F-AD111BF584CE}" type="pres">
      <dgm:prSet presAssocID="{3D9F013E-2170-49BA-95B3-A37FBC2F6951}" presName="sibTrans" presStyleLbl="sibTrans2D1" presStyleIdx="1" presStyleCnt="7"/>
      <dgm:spPr>
        <a:prstGeom prst="rightArrow">
          <a:avLst>
            <a:gd name="adj1" fmla="val 60000"/>
            <a:gd name="adj2" fmla="val 50000"/>
          </a:avLst>
        </a:prstGeom>
      </dgm:spPr>
      <dgm:t>
        <a:bodyPr/>
        <a:lstStyle/>
        <a:p>
          <a:endParaRPr lang="en-US"/>
        </a:p>
      </dgm:t>
    </dgm:pt>
    <dgm:pt modelId="{4D39DC8F-A21B-4446-AFCE-C2B6F2AD3ED6}" type="pres">
      <dgm:prSet presAssocID="{3D9F013E-2170-49BA-95B3-A37FBC2F6951}" presName="connectorText" presStyleLbl="sibTrans2D1" presStyleIdx="1" presStyleCnt="7"/>
      <dgm:spPr/>
      <dgm:t>
        <a:bodyPr/>
        <a:lstStyle/>
        <a:p>
          <a:endParaRPr lang="en-US"/>
        </a:p>
      </dgm:t>
    </dgm:pt>
    <dgm:pt modelId="{0DB97548-25F9-4746-9239-681C3BE4F9C9}" type="pres">
      <dgm:prSet presAssocID="{3FFCB884-E7A7-4BC5-B302-D80A3F78CDFB}" presName="node" presStyleLbl="node1" presStyleIdx="2" presStyleCnt="7" custScaleX="140353" custRadScaleRad="102975" custRadScaleInc="-3634">
        <dgm:presLayoutVars>
          <dgm:bulletEnabled val="1"/>
        </dgm:presLayoutVars>
      </dgm:prSet>
      <dgm:spPr>
        <a:prstGeom prst="ellipse">
          <a:avLst/>
        </a:prstGeom>
      </dgm:spPr>
      <dgm:t>
        <a:bodyPr/>
        <a:lstStyle/>
        <a:p>
          <a:endParaRPr lang="en-US"/>
        </a:p>
      </dgm:t>
    </dgm:pt>
    <dgm:pt modelId="{47C8899E-8A9D-4188-99B6-9FE807DF7DAD}" type="pres">
      <dgm:prSet presAssocID="{C38F0F1C-9013-4C72-9474-C0079865C3BF}" presName="sibTrans" presStyleLbl="sibTrans2D1" presStyleIdx="2" presStyleCnt="7"/>
      <dgm:spPr>
        <a:prstGeom prst="rightArrow">
          <a:avLst>
            <a:gd name="adj1" fmla="val 60000"/>
            <a:gd name="adj2" fmla="val 50000"/>
          </a:avLst>
        </a:prstGeom>
      </dgm:spPr>
      <dgm:t>
        <a:bodyPr/>
        <a:lstStyle/>
        <a:p>
          <a:endParaRPr lang="en-US"/>
        </a:p>
      </dgm:t>
    </dgm:pt>
    <dgm:pt modelId="{48DD50FC-8B6C-49E3-9FC5-9C7DE42F6F61}" type="pres">
      <dgm:prSet presAssocID="{C38F0F1C-9013-4C72-9474-C0079865C3BF}" presName="connectorText" presStyleLbl="sibTrans2D1" presStyleIdx="2" presStyleCnt="7"/>
      <dgm:spPr/>
      <dgm:t>
        <a:bodyPr/>
        <a:lstStyle/>
        <a:p>
          <a:endParaRPr lang="en-US"/>
        </a:p>
      </dgm:t>
    </dgm:pt>
    <dgm:pt modelId="{1E322CF0-B2CC-4346-A8B6-D544B77E95D5}" type="pres">
      <dgm:prSet presAssocID="{8F3DABB2-30A3-46F1-95F7-9A63EC712867}" presName="node" presStyleLbl="node1" presStyleIdx="3" presStyleCnt="7" custScaleX="140353" custRadScaleRad="105586" custRadScaleInc="-21593">
        <dgm:presLayoutVars>
          <dgm:bulletEnabled val="1"/>
        </dgm:presLayoutVars>
      </dgm:prSet>
      <dgm:spPr>
        <a:prstGeom prst="ellipse">
          <a:avLst/>
        </a:prstGeom>
      </dgm:spPr>
      <dgm:t>
        <a:bodyPr/>
        <a:lstStyle/>
        <a:p>
          <a:endParaRPr lang="en-US"/>
        </a:p>
      </dgm:t>
    </dgm:pt>
    <dgm:pt modelId="{9C588D86-E5C0-4B38-BF43-38EA67FAD1DA}" type="pres">
      <dgm:prSet presAssocID="{2A0F08CA-5716-496E-90B8-F5B8B9A07117}" presName="sibTrans" presStyleLbl="sibTrans2D1" presStyleIdx="3" presStyleCnt="7"/>
      <dgm:spPr>
        <a:prstGeom prst="rightArrow">
          <a:avLst>
            <a:gd name="adj1" fmla="val 60000"/>
            <a:gd name="adj2" fmla="val 50000"/>
          </a:avLst>
        </a:prstGeom>
      </dgm:spPr>
      <dgm:t>
        <a:bodyPr/>
        <a:lstStyle/>
        <a:p>
          <a:endParaRPr lang="en-US"/>
        </a:p>
      </dgm:t>
    </dgm:pt>
    <dgm:pt modelId="{CEDB2624-5865-44E3-9EA2-E1A198218BBB}" type="pres">
      <dgm:prSet presAssocID="{2A0F08CA-5716-496E-90B8-F5B8B9A07117}" presName="connectorText" presStyleLbl="sibTrans2D1" presStyleIdx="3" presStyleCnt="7"/>
      <dgm:spPr/>
      <dgm:t>
        <a:bodyPr/>
        <a:lstStyle/>
        <a:p>
          <a:endParaRPr lang="en-US"/>
        </a:p>
      </dgm:t>
    </dgm:pt>
    <dgm:pt modelId="{CE8843D7-C3B4-49F7-9514-92446AE7C362}" type="pres">
      <dgm:prSet presAssocID="{96C05327-3829-408A-9B10-2455D41DFA25}" presName="node" presStyleLbl="node1" presStyleIdx="4" presStyleCnt="7" custScaleX="140353" custRadScaleRad="107138" custRadScaleInc="26811">
        <dgm:presLayoutVars>
          <dgm:bulletEnabled val="1"/>
        </dgm:presLayoutVars>
      </dgm:prSet>
      <dgm:spPr>
        <a:prstGeom prst="ellipse">
          <a:avLst/>
        </a:prstGeom>
      </dgm:spPr>
      <dgm:t>
        <a:bodyPr/>
        <a:lstStyle/>
        <a:p>
          <a:endParaRPr lang="en-US"/>
        </a:p>
      </dgm:t>
    </dgm:pt>
    <dgm:pt modelId="{3FB39F6F-D2CE-499A-9413-E488E9811803}" type="pres">
      <dgm:prSet presAssocID="{CF3F8C6C-F18A-4EFF-A518-37C59D70E05D}" presName="sibTrans" presStyleLbl="sibTrans2D1" presStyleIdx="4" presStyleCnt="7"/>
      <dgm:spPr>
        <a:prstGeom prst="rightArrow">
          <a:avLst>
            <a:gd name="adj1" fmla="val 60000"/>
            <a:gd name="adj2" fmla="val 50000"/>
          </a:avLst>
        </a:prstGeom>
      </dgm:spPr>
      <dgm:t>
        <a:bodyPr/>
        <a:lstStyle/>
        <a:p>
          <a:endParaRPr lang="en-US"/>
        </a:p>
      </dgm:t>
    </dgm:pt>
    <dgm:pt modelId="{E5CC34C2-965A-4399-9830-0E08D068E5EE}" type="pres">
      <dgm:prSet presAssocID="{CF3F8C6C-F18A-4EFF-A518-37C59D70E05D}" presName="connectorText" presStyleLbl="sibTrans2D1" presStyleIdx="4" presStyleCnt="7"/>
      <dgm:spPr/>
      <dgm:t>
        <a:bodyPr/>
        <a:lstStyle/>
        <a:p>
          <a:endParaRPr lang="en-US"/>
        </a:p>
      </dgm:t>
    </dgm:pt>
    <dgm:pt modelId="{A72351EC-24AF-42BC-933E-81D09709E096}" type="pres">
      <dgm:prSet presAssocID="{EE6FF742-B80C-4C82-B9A8-846E7A4B36EC}" presName="node" presStyleLbl="node1" presStyleIdx="5" presStyleCnt="7" custScaleX="140353">
        <dgm:presLayoutVars>
          <dgm:bulletEnabled val="1"/>
        </dgm:presLayoutVars>
      </dgm:prSet>
      <dgm:spPr>
        <a:prstGeom prst="ellipse">
          <a:avLst/>
        </a:prstGeom>
      </dgm:spPr>
      <dgm:t>
        <a:bodyPr/>
        <a:lstStyle/>
        <a:p>
          <a:endParaRPr lang="en-US"/>
        </a:p>
      </dgm:t>
    </dgm:pt>
    <dgm:pt modelId="{AE88FAE4-0AED-4EB5-9A4A-0579379E0FB5}" type="pres">
      <dgm:prSet presAssocID="{732A40FD-5648-4ACD-B937-0B3939E1CB8E}" presName="sibTrans" presStyleLbl="sibTrans2D1" presStyleIdx="5" presStyleCnt="7"/>
      <dgm:spPr>
        <a:prstGeom prst="rightArrow">
          <a:avLst>
            <a:gd name="adj1" fmla="val 60000"/>
            <a:gd name="adj2" fmla="val 50000"/>
          </a:avLst>
        </a:prstGeom>
      </dgm:spPr>
      <dgm:t>
        <a:bodyPr/>
        <a:lstStyle/>
        <a:p>
          <a:endParaRPr lang="en-US"/>
        </a:p>
      </dgm:t>
    </dgm:pt>
    <dgm:pt modelId="{3AE23FA3-903B-447D-AD3A-1D42434FA37D}" type="pres">
      <dgm:prSet presAssocID="{732A40FD-5648-4ACD-B937-0B3939E1CB8E}" presName="connectorText" presStyleLbl="sibTrans2D1" presStyleIdx="5" presStyleCnt="7"/>
      <dgm:spPr/>
      <dgm:t>
        <a:bodyPr/>
        <a:lstStyle/>
        <a:p>
          <a:endParaRPr lang="en-US"/>
        </a:p>
      </dgm:t>
    </dgm:pt>
    <dgm:pt modelId="{7F5EF40E-F4CE-4382-8F8E-AE56D4929A78}" type="pres">
      <dgm:prSet presAssocID="{83AE72CF-04CC-434A-BEBC-AB916D5CBE60}" presName="node" presStyleLbl="node1" presStyleIdx="6" presStyleCnt="7" custScaleX="140353" custRadScaleRad="105956" custRadScaleInc="-6402">
        <dgm:presLayoutVars>
          <dgm:bulletEnabled val="1"/>
        </dgm:presLayoutVars>
      </dgm:prSet>
      <dgm:spPr>
        <a:prstGeom prst="ellipse">
          <a:avLst/>
        </a:prstGeom>
      </dgm:spPr>
      <dgm:t>
        <a:bodyPr/>
        <a:lstStyle/>
        <a:p>
          <a:endParaRPr lang="en-US"/>
        </a:p>
      </dgm:t>
    </dgm:pt>
    <dgm:pt modelId="{A8A58236-583E-490B-9BC0-727C13AE3CD1}" type="pres">
      <dgm:prSet presAssocID="{F3DD0DD7-B71A-422B-9454-6012F68C4B7F}" presName="sibTrans" presStyleLbl="sibTrans2D1" presStyleIdx="6" presStyleCnt="7"/>
      <dgm:spPr>
        <a:prstGeom prst="rightArrow">
          <a:avLst>
            <a:gd name="adj1" fmla="val 60000"/>
            <a:gd name="adj2" fmla="val 50000"/>
          </a:avLst>
        </a:prstGeom>
      </dgm:spPr>
      <dgm:t>
        <a:bodyPr/>
        <a:lstStyle/>
        <a:p>
          <a:endParaRPr lang="en-US"/>
        </a:p>
      </dgm:t>
    </dgm:pt>
    <dgm:pt modelId="{75C4E69E-9781-484C-BEA6-34F1E96399C0}" type="pres">
      <dgm:prSet presAssocID="{F3DD0DD7-B71A-422B-9454-6012F68C4B7F}" presName="connectorText" presStyleLbl="sibTrans2D1" presStyleIdx="6" presStyleCnt="7"/>
      <dgm:spPr/>
      <dgm:t>
        <a:bodyPr/>
        <a:lstStyle/>
        <a:p>
          <a:endParaRPr lang="en-US"/>
        </a:p>
      </dgm:t>
    </dgm:pt>
  </dgm:ptLst>
  <dgm:cxnLst>
    <dgm:cxn modelId="{14F3FBA9-5CD8-42EE-94EF-90F1B2A33075}" type="presOf" srcId="{83AE72CF-04CC-434A-BEBC-AB916D5CBE60}" destId="{7F5EF40E-F4CE-4382-8F8E-AE56D4929A78}" srcOrd="0" destOrd="0" presId="urn:microsoft.com/office/officeart/2005/8/layout/cycle2"/>
    <dgm:cxn modelId="{0AB4A134-C60A-497C-B5FC-CD5B2B74105B}" type="presOf" srcId="{95E53B69-2481-47A4-8BDE-8FAF51F13C4D}" destId="{9B252105-465F-42B5-B66E-52BE484DB8EC}" srcOrd="0" destOrd="0" presId="urn:microsoft.com/office/officeart/2005/8/layout/cycle2"/>
    <dgm:cxn modelId="{6449973A-4559-462C-8E32-616036E1D3C8}" type="presOf" srcId="{2A0F08CA-5716-496E-90B8-F5B8B9A07117}" destId="{9C588D86-E5C0-4B38-BF43-38EA67FAD1DA}" srcOrd="0" destOrd="0" presId="urn:microsoft.com/office/officeart/2005/8/layout/cycle2"/>
    <dgm:cxn modelId="{242FDB49-FA0B-4471-858B-CFF098FB8BB2}" type="presOf" srcId="{EE6FF742-B80C-4C82-B9A8-846E7A4B36EC}" destId="{A72351EC-24AF-42BC-933E-81D09709E096}" srcOrd="0" destOrd="0" presId="urn:microsoft.com/office/officeart/2005/8/layout/cycle2"/>
    <dgm:cxn modelId="{23F752AD-7E10-4F48-92DE-AE9C43C05DCB}" srcId="{95E53B69-2481-47A4-8BDE-8FAF51F13C4D}" destId="{8F3DABB2-30A3-46F1-95F7-9A63EC712867}" srcOrd="3" destOrd="0" parTransId="{4662D6C7-EADD-4B5D-BF04-55610C09357D}" sibTransId="{2A0F08CA-5716-496E-90B8-F5B8B9A07117}"/>
    <dgm:cxn modelId="{F2D3993D-2676-4FAA-9DA3-5EA6143B3F6D}" type="presOf" srcId="{C38F0F1C-9013-4C72-9474-C0079865C3BF}" destId="{47C8899E-8A9D-4188-99B6-9FE807DF7DAD}" srcOrd="0" destOrd="0" presId="urn:microsoft.com/office/officeart/2005/8/layout/cycle2"/>
    <dgm:cxn modelId="{46B0CB28-1213-41BA-AC0A-315D63B68306}" srcId="{95E53B69-2481-47A4-8BDE-8FAF51F13C4D}" destId="{EE6FF742-B80C-4C82-B9A8-846E7A4B36EC}" srcOrd="5" destOrd="0" parTransId="{9D59B160-EA56-40DC-8293-83387D77DE2F}" sibTransId="{732A40FD-5648-4ACD-B937-0B3939E1CB8E}"/>
    <dgm:cxn modelId="{7A9F2137-845F-4E25-9F44-BFBD889C8171}" type="presOf" srcId="{906647E6-9977-44D5-8913-D8A86D57C2A3}" destId="{388198BE-C455-47AE-BEBD-983ADB5C3C88}" srcOrd="0" destOrd="0" presId="urn:microsoft.com/office/officeart/2005/8/layout/cycle2"/>
    <dgm:cxn modelId="{6B31D767-0A20-4DB0-92AE-82A56EFE01BE}" type="presOf" srcId="{F3DD0DD7-B71A-422B-9454-6012F68C4B7F}" destId="{75C4E69E-9781-484C-BEA6-34F1E96399C0}" srcOrd="1" destOrd="0" presId="urn:microsoft.com/office/officeart/2005/8/layout/cycle2"/>
    <dgm:cxn modelId="{359FCD00-325C-48FA-86AA-9A4E0B40A088}" type="presOf" srcId="{732A40FD-5648-4ACD-B937-0B3939E1CB8E}" destId="{AE88FAE4-0AED-4EB5-9A4A-0579379E0FB5}" srcOrd="0" destOrd="0" presId="urn:microsoft.com/office/officeart/2005/8/layout/cycle2"/>
    <dgm:cxn modelId="{4A057720-12FF-4CAF-A7C0-1F45B4385CCE}" type="presOf" srcId="{3D9F013E-2170-49BA-95B3-A37FBC2F6951}" destId="{59598A55-A9FB-4A65-952F-AD111BF584CE}" srcOrd="0" destOrd="0" presId="urn:microsoft.com/office/officeart/2005/8/layout/cycle2"/>
    <dgm:cxn modelId="{703D82AB-55E8-4819-A0F0-FBE280E16DE3}" type="presOf" srcId="{8F3DABB2-30A3-46F1-95F7-9A63EC712867}" destId="{1E322CF0-B2CC-4346-A8B6-D544B77E95D5}" srcOrd="0" destOrd="0" presId="urn:microsoft.com/office/officeart/2005/8/layout/cycle2"/>
    <dgm:cxn modelId="{27A796B0-3674-4E82-A72E-395175BA980B}" type="presOf" srcId="{3FFCB884-E7A7-4BC5-B302-D80A3F78CDFB}" destId="{0DB97548-25F9-4746-9239-681C3BE4F9C9}" srcOrd="0" destOrd="0" presId="urn:microsoft.com/office/officeart/2005/8/layout/cycle2"/>
    <dgm:cxn modelId="{5D100A70-9A5C-4CD9-BE8E-FE51A0D3576A}" type="presOf" srcId="{96C05327-3829-408A-9B10-2455D41DFA25}" destId="{CE8843D7-C3B4-49F7-9514-92446AE7C362}" srcOrd="0" destOrd="0" presId="urn:microsoft.com/office/officeart/2005/8/layout/cycle2"/>
    <dgm:cxn modelId="{2BA4E2B1-F080-46E8-B09E-CADD9E2417D6}" srcId="{95E53B69-2481-47A4-8BDE-8FAF51F13C4D}" destId="{96C05327-3829-408A-9B10-2455D41DFA25}" srcOrd="4" destOrd="0" parTransId="{808B5EB0-050A-41E3-96EB-98158460C451}" sibTransId="{CF3F8C6C-F18A-4EFF-A518-37C59D70E05D}"/>
    <dgm:cxn modelId="{B55855F0-C735-44F7-948B-801240D94659}" srcId="{95E53B69-2481-47A4-8BDE-8FAF51F13C4D}" destId="{3FFCB884-E7A7-4BC5-B302-D80A3F78CDFB}" srcOrd="2" destOrd="0" parTransId="{E3D931D1-9BD5-4C60-B6ED-5A64A6E53452}" sibTransId="{C38F0F1C-9013-4C72-9474-C0079865C3BF}"/>
    <dgm:cxn modelId="{8A427974-8D55-4C74-A4AB-8D692A1E95D0}" type="presOf" srcId="{F3DD0DD7-B71A-422B-9454-6012F68C4B7F}" destId="{A8A58236-583E-490B-9BC0-727C13AE3CD1}" srcOrd="0" destOrd="0" presId="urn:microsoft.com/office/officeart/2005/8/layout/cycle2"/>
    <dgm:cxn modelId="{5D38B025-D9E5-487F-B4E4-B82CFCA99749}" srcId="{95E53B69-2481-47A4-8BDE-8FAF51F13C4D}" destId="{83AE72CF-04CC-434A-BEBC-AB916D5CBE60}" srcOrd="6" destOrd="0" parTransId="{3525A42C-1E98-4CBD-8156-67DAB39B37EA}" sibTransId="{F3DD0DD7-B71A-422B-9454-6012F68C4B7F}"/>
    <dgm:cxn modelId="{4C94FC6B-61FE-4EB8-9A71-276E1B7810BA}" type="presOf" srcId="{C38F0F1C-9013-4C72-9474-C0079865C3BF}" destId="{48DD50FC-8B6C-49E3-9FC5-9C7DE42F6F61}" srcOrd="1" destOrd="0" presId="urn:microsoft.com/office/officeart/2005/8/layout/cycle2"/>
    <dgm:cxn modelId="{4DC22664-0D2D-4DFB-AD7E-F9D4B454A707}" type="presOf" srcId="{3D9F013E-2170-49BA-95B3-A37FBC2F6951}" destId="{4D39DC8F-A21B-4446-AFCE-C2B6F2AD3ED6}" srcOrd="1" destOrd="0" presId="urn:microsoft.com/office/officeart/2005/8/layout/cycle2"/>
    <dgm:cxn modelId="{118ECA17-F45F-4278-B1F0-159D7D4B3C8D}" type="presOf" srcId="{7000F1C2-7778-406A-8641-4CD9B776B651}" destId="{7EA29364-9893-4359-A9D4-79733DFF1DB3}" srcOrd="0" destOrd="0" presId="urn:microsoft.com/office/officeart/2005/8/layout/cycle2"/>
    <dgm:cxn modelId="{01F9272A-E6EB-45E7-90B5-533707E4D10D}" type="presOf" srcId="{732A40FD-5648-4ACD-B937-0B3939E1CB8E}" destId="{3AE23FA3-903B-447D-AD3A-1D42434FA37D}" srcOrd="1" destOrd="0" presId="urn:microsoft.com/office/officeart/2005/8/layout/cycle2"/>
    <dgm:cxn modelId="{9CE3A610-0115-4615-91A0-EBDBBB4FE996}" type="presOf" srcId="{3D190073-725B-4105-9EDC-C8A93DC403B1}" destId="{93F4EDAD-BC63-4C5F-B7CB-EA4604BA6C60}" srcOrd="0" destOrd="0" presId="urn:microsoft.com/office/officeart/2005/8/layout/cycle2"/>
    <dgm:cxn modelId="{2267BC82-2EDC-4AAA-8987-A022ED028B84}" srcId="{95E53B69-2481-47A4-8BDE-8FAF51F13C4D}" destId="{7000F1C2-7778-406A-8641-4CD9B776B651}" srcOrd="0" destOrd="0" parTransId="{CF6B14F5-8D44-4130-985E-78F48A60926D}" sibTransId="{906647E6-9977-44D5-8913-D8A86D57C2A3}"/>
    <dgm:cxn modelId="{1B36827C-44D2-4D55-98BF-66C33E6DB3CD}" srcId="{95E53B69-2481-47A4-8BDE-8FAF51F13C4D}" destId="{3D190073-725B-4105-9EDC-C8A93DC403B1}" srcOrd="1" destOrd="0" parTransId="{D8C4D498-FCFE-4B02-818F-D4F7484C2F10}" sibTransId="{3D9F013E-2170-49BA-95B3-A37FBC2F6951}"/>
    <dgm:cxn modelId="{CDB60F2A-9AC2-45F3-83A3-B546300A18B5}" type="presOf" srcId="{2A0F08CA-5716-496E-90B8-F5B8B9A07117}" destId="{CEDB2624-5865-44E3-9EA2-E1A198218BBB}" srcOrd="1" destOrd="0" presId="urn:microsoft.com/office/officeart/2005/8/layout/cycle2"/>
    <dgm:cxn modelId="{2656257F-7F2D-49A0-B0AC-7422F015ACF8}" type="presOf" srcId="{906647E6-9977-44D5-8913-D8A86D57C2A3}" destId="{064D081B-EF72-4EE5-BFBA-B604A6342A93}" srcOrd="1" destOrd="0" presId="urn:microsoft.com/office/officeart/2005/8/layout/cycle2"/>
    <dgm:cxn modelId="{CE9FBC4A-1B05-4BB7-A84A-A4B8A9FCDD5D}" type="presOf" srcId="{CF3F8C6C-F18A-4EFF-A518-37C59D70E05D}" destId="{E5CC34C2-965A-4399-9830-0E08D068E5EE}" srcOrd="1" destOrd="0" presId="urn:microsoft.com/office/officeart/2005/8/layout/cycle2"/>
    <dgm:cxn modelId="{46DCF7CA-6EEB-47BB-9C33-F92260EF0F9E}" type="presOf" srcId="{CF3F8C6C-F18A-4EFF-A518-37C59D70E05D}" destId="{3FB39F6F-D2CE-499A-9413-E488E9811803}" srcOrd="0" destOrd="0" presId="urn:microsoft.com/office/officeart/2005/8/layout/cycle2"/>
    <dgm:cxn modelId="{F60498CA-C387-4B50-A80D-350189160905}" type="presParOf" srcId="{9B252105-465F-42B5-B66E-52BE484DB8EC}" destId="{7EA29364-9893-4359-A9D4-79733DFF1DB3}" srcOrd="0" destOrd="0" presId="urn:microsoft.com/office/officeart/2005/8/layout/cycle2"/>
    <dgm:cxn modelId="{90F17F13-4ABB-4EA7-A565-3363D23B0041}" type="presParOf" srcId="{9B252105-465F-42B5-B66E-52BE484DB8EC}" destId="{388198BE-C455-47AE-BEBD-983ADB5C3C88}" srcOrd="1" destOrd="0" presId="urn:microsoft.com/office/officeart/2005/8/layout/cycle2"/>
    <dgm:cxn modelId="{724FB522-7C6B-41FD-B338-50FC3EB06FFF}" type="presParOf" srcId="{388198BE-C455-47AE-BEBD-983ADB5C3C88}" destId="{064D081B-EF72-4EE5-BFBA-B604A6342A93}" srcOrd="0" destOrd="0" presId="urn:microsoft.com/office/officeart/2005/8/layout/cycle2"/>
    <dgm:cxn modelId="{74A481B3-CC10-4B93-A0CB-D59F1FB6D9B3}" type="presParOf" srcId="{9B252105-465F-42B5-B66E-52BE484DB8EC}" destId="{93F4EDAD-BC63-4C5F-B7CB-EA4604BA6C60}" srcOrd="2" destOrd="0" presId="urn:microsoft.com/office/officeart/2005/8/layout/cycle2"/>
    <dgm:cxn modelId="{3B788AE4-79D1-4EC6-9DAF-ECDBFC27B09B}" type="presParOf" srcId="{9B252105-465F-42B5-B66E-52BE484DB8EC}" destId="{59598A55-A9FB-4A65-952F-AD111BF584CE}" srcOrd="3" destOrd="0" presId="urn:microsoft.com/office/officeart/2005/8/layout/cycle2"/>
    <dgm:cxn modelId="{F310B32C-6C00-46BA-8315-13CA9E61040E}" type="presParOf" srcId="{59598A55-A9FB-4A65-952F-AD111BF584CE}" destId="{4D39DC8F-A21B-4446-AFCE-C2B6F2AD3ED6}" srcOrd="0" destOrd="0" presId="urn:microsoft.com/office/officeart/2005/8/layout/cycle2"/>
    <dgm:cxn modelId="{A4EA7EB1-27BF-496F-AFA5-28114EFD5D1A}" type="presParOf" srcId="{9B252105-465F-42B5-B66E-52BE484DB8EC}" destId="{0DB97548-25F9-4746-9239-681C3BE4F9C9}" srcOrd="4" destOrd="0" presId="urn:microsoft.com/office/officeart/2005/8/layout/cycle2"/>
    <dgm:cxn modelId="{182C756A-4662-4F75-87C1-CA9E4EB87261}" type="presParOf" srcId="{9B252105-465F-42B5-B66E-52BE484DB8EC}" destId="{47C8899E-8A9D-4188-99B6-9FE807DF7DAD}" srcOrd="5" destOrd="0" presId="urn:microsoft.com/office/officeart/2005/8/layout/cycle2"/>
    <dgm:cxn modelId="{95E88125-729D-4E76-A14D-DFAC1F56E24A}" type="presParOf" srcId="{47C8899E-8A9D-4188-99B6-9FE807DF7DAD}" destId="{48DD50FC-8B6C-49E3-9FC5-9C7DE42F6F61}" srcOrd="0" destOrd="0" presId="urn:microsoft.com/office/officeart/2005/8/layout/cycle2"/>
    <dgm:cxn modelId="{C07FDD8F-07EC-4CC2-BB96-4C811BEE42DC}" type="presParOf" srcId="{9B252105-465F-42B5-B66E-52BE484DB8EC}" destId="{1E322CF0-B2CC-4346-A8B6-D544B77E95D5}" srcOrd="6" destOrd="0" presId="urn:microsoft.com/office/officeart/2005/8/layout/cycle2"/>
    <dgm:cxn modelId="{313C5726-77BC-4C3F-AF3B-75C1D6DDAD3E}" type="presParOf" srcId="{9B252105-465F-42B5-B66E-52BE484DB8EC}" destId="{9C588D86-E5C0-4B38-BF43-38EA67FAD1DA}" srcOrd="7" destOrd="0" presId="urn:microsoft.com/office/officeart/2005/8/layout/cycle2"/>
    <dgm:cxn modelId="{62EB4527-6502-4C81-954D-1369856B09A2}" type="presParOf" srcId="{9C588D86-E5C0-4B38-BF43-38EA67FAD1DA}" destId="{CEDB2624-5865-44E3-9EA2-E1A198218BBB}" srcOrd="0" destOrd="0" presId="urn:microsoft.com/office/officeart/2005/8/layout/cycle2"/>
    <dgm:cxn modelId="{1C310D38-B327-47D2-9AF6-C1838333D7F2}" type="presParOf" srcId="{9B252105-465F-42B5-B66E-52BE484DB8EC}" destId="{CE8843D7-C3B4-49F7-9514-92446AE7C362}" srcOrd="8" destOrd="0" presId="urn:microsoft.com/office/officeart/2005/8/layout/cycle2"/>
    <dgm:cxn modelId="{41C183B5-9099-427F-8BC5-0D160CBD8DCB}" type="presParOf" srcId="{9B252105-465F-42B5-B66E-52BE484DB8EC}" destId="{3FB39F6F-D2CE-499A-9413-E488E9811803}" srcOrd="9" destOrd="0" presId="urn:microsoft.com/office/officeart/2005/8/layout/cycle2"/>
    <dgm:cxn modelId="{93A7CA16-AABF-435C-91D7-CE2225214F1B}" type="presParOf" srcId="{3FB39F6F-D2CE-499A-9413-E488E9811803}" destId="{E5CC34C2-965A-4399-9830-0E08D068E5EE}" srcOrd="0" destOrd="0" presId="urn:microsoft.com/office/officeart/2005/8/layout/cycle2"/>
    <dgm:cxn modelId="{49C9DA4D-6D2E-4E8B-906C-2F5F2FF78D88}" type="presParOf" srcId="{9B252105-465F-42B5-B66E-52BE484DB8EC}" destId="{A72351EC-24AF-42BC-933E-81D09709E096}" srcOrd="10" destOrd="0" presId="urn:microsoft.com/office/officeart/2005/8/layout/cycle2"/>
    <dgm:cxn modelId="{423DAA39-1F15-4ADB-BC31-5EAB6DA9E6DD}" type="presParOf" srcId="{9B252105-465F-42B5-B66E-52BE484DB8EC}" destId="{AE88FAE4-0AED-4EB5-9A4A-0579379E0FB5}" srcOrd="11" destOrd="0" presId="urn:microsoft.com/office/officeart/2005/8/layout/cycle2"/>
    <dgm:cxn modelId="{CE5C4800-6C78-4CEA-9A64-B1A87943501A}" type="presParOf" srcId="{AE88FAE4-0AED-4EB5-9A4A-0579379E0FB5}" destId="{3AE23FA3-903B-447D-AD3A-1D42434FA37D}" srcOrd="0" destOrd="0" presId="urn:microsoft.com/office/officeart/2005/8/layout/cycle2"/>
    <dgm:cxn modelId="{279C5EF6-8F5B-4D24-AB28-C3C600CE6057}" type="presParOf" srcId="{9B252105-465F-42B5-B66E-52BE484DB8EC}" destId="{7F5EF40E-F4CE-4382-8F8E-AE56D4929A78}" srcOrd="12" destOrd="0" presId="urn:microsoft.com/office/officeart/2005/8/layout/cycle2"/>
    <dgm:cxn modelId="{7DA7FE86-9D0A-4626-8CDC-AA8F45101D1C}" type="presParOf" srcId="{9B252105-465F-42B5-B66E-52BE484DB8EC}" destId="{A8A58236-583E-490B-9BC0-727C13AE3CD1}" srcOrd="13" destOrd="0" presId="urn:microsoft.com/office/officeart/2005/8/layout/cycle2"/>
    <dgm:cxn modelId="{46AB0B7D-FBF1-4C74-9206-4975A82039A0}" type="presParOf" srcId="{A8A58236-583E-490B-9BC0-727C13AE3CD1}" destId="{75C4E69E-9781-484C-BEA6-34F1E96399C0}"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29364-9893-4359-A9D4-79733DFF1DB3}">
      <dsp:nvSpPr>
        <dsp:cNvPr id="0" name=""/>
        <dsp:cNvSpPr/>
      </dsp:nvSpPr>
      <dsp:spPr>
        <a:xfrm>
          <a:off x="2456232" y="1135"/>
          <a:ext cx="1693051" cy="1206280"/>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IPA III Programming Framework (Commission Decision)</a:t>
          </a:r>
          <a:endParaRPr lang="en-US" sz="1400" b="1" kern="1200" dirty="0">
            <a:solidFill>
              <a:sysClr val="window" lastClr="FFFFFF"/>
            </a:solidFill>
            <a:latin typeface="Calibri"/>
            <a:ea typeface="+mn-ea"/>
            <a:cs typeface="+mn-cs"/>
          </a:endParaRPr>
        </a:p>
      </dsp:txBody>
      <dsp:txXfrm>
        <a:off x="2704174" y="177791"/>
        <a:ext cx="1197167" cy="852968"/>
      </dsp:txXfrm>
    </dsp:sp>
    <dsp:sp modelId="{388198BE-C455-47AE-BEBD-983ADB5C3C88}">
      <dsp:nvSpPr>
        <dsp:cNvPr id="0" name=""/>
        <dsp:cNvSpPr/>
      </dsp:nvSpPr>
      <dsp:spPr>
        <a:xfrm rot="1408969">
          <a:off x="4097019" y="791566"/>
          <a:ext cx="210741"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a:off x="4099637" y="860394"/>
        <a:ext cx="147519" cy="244271"/>
      </dsp:txXfrm>
    </dsp:sp>
    <dsp:sp modelId="{93F4EDAD-BC63-4C5F-B7CB-EA4604BA6C60}">
      <dsp:nvSpPr>
        <dsp:cNvPr id="0" name=""/>
        <dsp:cNvSpPr/>
      </dsp:nvSpPr>
      <dsp:spPr>
        <a:xfrm>
          <a:off x="4266437" y="787589"/>
          <a:ext cx="1693051" cy="1206280"/>
        </a:xfrm>
        <a:prstGeom prst="ellipse">
          <a:avLst/>
        </a:prstGeom>
        <a:solidFill>
          <a:srgbClr val="C0504D">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Strategic Response</a:t>
          </a:r>
          <a:endParaRPr lang="en-US" sz="1400" b="1" kern="1200" dirty="0">
            <a:solidFill>
              <a:sysClr val="window" lastClr="FFFFFF"/>
            </a:solidFill>
            <a:latin typeface="Calibri"/>
            <a:ea typeface="+mn-ea"/>
            <a:cs typeface="+mn-cs"/>
          </a:endParaRPr>
        </a:p>
      </dsp:txBody>
      <dsp:txXfrm>
        <a:off x="4514379" y="964245"/>
        <a:ext cx="1197167" cy="852968"/>
      </dsp:txXfrm>
    </dsp:sp>
    <dsp:sp modelId="{59598A55-A9FB-4A65-952F-AD111BF584CE}">
      <dsp:nvSpPr>
        <dsp:cNvPr id="0" name=""/>
        <dsp:cNvSpPr/>
      </dsp:nvSpPr>
      <dsp:spPr>
        <a:xfrm rot="4826079">
          <a:off x="5111200" y="2052300"/>
          <a:ext cx="295101"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a:off x="5148109" y="2090074"/>
        <a:ext cx="206571" cy="244271"/>
      </dsp:txXfrm>
    </dsp:sp>
    <dsp:sp modelId="{0DB97548-25F9-4746-9239-681C3BE4F9C9}">
      <dsp:nvSpPr>
        <dsp:cNvPr id="0" name=""/>
        <dsp:cNvSpPr/>
      </dsp:nvSpPr>
      <dsp:spPr>
        <a:xfrm>
          <a:off x="4560789" y="2534321"/>
          <a:ext cx="1693051" cy="120628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Relevance Assessment</a:t>
          </a:r>
          <a:endParaRPr lang="en-US" sz="1400" b="1" kern="1200" dirty="0">
            <a:solidFill>
              <a:sysClr val="window" lastClr="FFFFFF"/>
            </a:solidFill>
            <a:latin typeface="Calibri"/>
            <a:ea typeface="+mn-ea"/>
            <a:cs typeface="+mn-cs"/>
          </a:endParaRPr>
        </a:p>
      </dsp:txBody>
      <dsp:txXfrm>
        <a:off x="4808731" y="2710977"/>
        <a:ext cx="1197167" cy="852968"/>
      </dsp:txXfrm>
    </dsp:sp>
    <dsp:sp modelId="{47C8899E-8A9D-4188-99B6-9FE807DF7DAD}">
      <dsp:nvSpPr>
        <dsp:cNvPr id="0" name=""/>
        <dsp:cNvSpPr/>
      </dsp:nvSpPr>
      <dsp:spPr>
        <a:xfrm rot="7422566">
          <a:off x="4819623" y="3648024"/>
          <a:ext cx="222522"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rot="10800000">
        <a:off x="4871526" y="3701682"/>
        <a:ext cx="155765" cy="244271"/>
      </dsp:txXfrm>
    </dsp:sp>
    <dsp:sp modelId="{1E322CF0-B2CC-4346-A8B6-D544B77E95D5}">
      <dsp:nvSpPr>
        <dsp:cNvPr id="0" name=""/>
        <dsp:cNvSpPr/>
      </dsp:nvSpPr>
      <dsp:spPr>
        <a:xfrm>
          <a:off x="3600937" y="3973045"/>
          <a:ext cx="1693051" cy="1206280"/>
        </a:xfrm>
        <a:prstGeom prst="ellipse">
          <a:avLst/>
        </a:prstGeom>
        <a:solidFill>
          <a:srgbClr val="C0504D">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Submission of annual or multi-annual draft Action Documents</a:t>
          </a:r>
          <a:endParaRPr lang="en-US" sz="1400" b="1" kern="1200" dirty="0">
            <a:solidFill>
              <a:sysClr val="window" lastClr="FFFFFF"/>
            </a:solidFill>
            <a:latin typeface="Calibri"/>
            <a:ea typeface="+mn-ea"/>
            <a:cs typeface="+mn-cs"/>
          </a:endParaRPr>
        </a:p>
      </dsp:txBody>
      <dsp:txXfrm>
        <a:off x="3848879" y="4149701"/>
        <a:ext cx="1197167" cy="852968"/>
      </dsp:txXfrm>
    </dsp:sp>
    <dsp:sp modelId="{9C588D86-E5C0-4B38-BF43-38EA67FAD1DA}">
      <dsp:nvSpPr>
        <dsp:cNvPr id="0" name=""/>
        <dsp:cNvSpPr/>
      </dsp:nvSpPr>
      <dsp:spPr>
        <a:xfrm rot="10800000">
          <a:off x="3107693" y="4372625"/>
          <a:ext cx="348558"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rot="10800000">
        <a:off x="3212260" y="4454049"/>
        <a:ext cx="243991" cy="244271"/>
      </dsp:txXfrm>
    </dsp:sp>
    <dsp:sp modelId="{CE8843D7-C3B4-49F7-9514-92446AE7C362}">
      <dsp:nvSpPr>
        <dsp:cNvPr id="0" name=""/>
        <dsp:cNvSpPr/>
      </dsp:nvSpPr>
      <dsp:spPr>
        <a:xfrm>
          <a:off x="1250227" y="3973045"/>
          <a:ext cx="1693051" cy="1206280"/>
        </a:xfrm>
        <a:prstGeom prst="ellipse">
          <a:avLst/>
        </a:prstGeom>
        <a:solidFill>
          <a:srgbClr val="F79646">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Maturity Assessment</a:t>
          </a:r>
          <a:endParaRPr lang="en-US" sz="1400" b="1" kern="1200" dirty="0">
            <a:solidFill>
              <a:sysClr val="window" lastClr="FFFFFF"/>
            </a:solidFill>
            <a:latin typeface="Calibri"/>
            <a:ea typeface="+mn-ea"/>
            <a:cs typeface="+mn-cs"/>
          </a:endParaRPr>
        </a:p>
      </dsp:txBody>
      <dsp:txXfrm>
        <a:off x="1498169" y="4149701"/>
        <a:ext cx="1197167" cy="852968"/>
      </dsp:txXfrm>
    </dsp:sp>
    <dsp:sp modelId="{3FB39F6F-D2CE-499A-9413-E488E9811803}">
      <dsp:nvSpPr>
        <dsp:cNvPr id="0" name=""/>
        <dsp:cNvSpPr/>
      </dsp:nvSpPr>
      <dsp:spPr>
        <a:xfrm rot="14379003">
          <a:off x="1590551" y="3668056"/>
          <a:ext cx="187321"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rot="10800000">
        <a:off x="1632846" y="3773727"/>
        <a:ext cx="131125" cy="244271"/>
      </dsp:txXfrm>
    </dsp:sp>
    <dsp:sp modelId="{A72351EC-24AF-42BC-933E-81D09709E096}">
      <dsp:nvSpPr>
        <dsp:cNvPr id="0" name=""/>
        <dsp:cNvSpPr/>
      </dsp:nvSpPr>
      <dsp:spPr>
        <a:xfrm>
          <a:off x="419787" y="2554756"/>
          <a:ext cx="1693051" cy="1206280"/>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Commission Financing Decision</a:t>
          </a:r>
          <a:endParaRPr lang="en-US" sz="1400" b="1" kern="1200" dirty="0">
            <a:solidFill>
              <a:sysClr val="window" lastClr="FFFFFF"/>
            </a:solidFill>
            <a:latin typeface="Calibri"/>
            <a:ea typeface="+mn-ea"/>
            <a:cs typeface="+mn-cs"/>
          </a:endParaRPr>
        </a:p>
      </dsp:txBody>
      <dsp:txXfrm>
        <a:off x="667729" y="2731412"/>
        <a:ext cx="1197167" cy="852968"/>
      </dsp:txXfrm>
    </dsp:sp>
    <dsp:sp modelId="{AE88FAE4-0AED-4EB5-9A4A-0579379E0FB5}">
      <dsp:nvSpPr>
        <dsp:cNvPr id="0" name=""/>
        <dsp:cNvSpPr/>
      </dsp:nvSpPr>
      <dsp:spPr>
        <a:xfrm rot="16708060">
          <a:off x="1239172" y="2066036"/>
          <a:ext cx="318770"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a:off x="1279947" y="2194754"/>
        <a:ext cx="223139" cy="244271"/>
      </dsp:txXfrm>
    </dsp:sp>
    <dsp:sp modelId="{7F5EF40E-F4CE-4382-8F8E-AE56D4929A78}">
      <dsp:nvSpPr>
        <dsp:cNvPr id="0" name=""/>
        <dsp:cNvSpPr/>
      </dsp:nvSpPr>
      <dsp:spPr>
        <a:xfrm>
          <a:off x="686934" y="760307"/>
          <a:ext cx="1693051" cy="1206280"/>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 lastClr="FFFFFF"/>
              </a:solidFill>
              <a:latin typeface="Calibri"/>
              <a:ea typeface="+mn-ea"/>
              <a:cs typeface="+mn-cs"/>
            </a:rPr>
            <a:t>Signature of Financing Agreement</a:t>
          </a:r>
          <a:endParaRPr lang="en-US" sz="1400" b="1" kern="1200" dirty="0">
            <a:solidFill>
              <a:sysClr val="window" lastClr="FFFFFF"/>
            </a:solidFill>
            <a:latin typeface="Calibri"/>
            <a:ea typeface="+mn-ea"/>
            <a:cs typeface="+mn-cs"/>
          </a:endParaRPr>
        </a:p>
      </dsp:txBody>
      <dsp:txXfrm>
        <a:off x="934876" y="936963"/>
        <a:ext cx="1197167" cy="852968"/>
      </dsp:txXfrm>
    </dsp:sp>
    <dsp:sp modelId="{A8A58236-583E-490B-9BC0-727C13AE3CD1}">
      <dsp:nvSpPr>
        <dsp:cNvPr id="0" name=""/>
        <dsp:cNvSpPr/>
      </dsp:nvSpPr>
      <dsp:spPr>
        <a:xfrm rot="20206605">
          <a:off x="2321352" y="782354"/>
          <a:ext cx="183945" cy="407119"/>
        </a:xfrm>
        <a:prstGeom prst="rightArrow">
          <a:avLst>
            <a:gd name="adj1" fmla="val 60000"/>
            <a:gd name="adj2" fmla="val 50000"/>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solidFill>
              <a:sysClr val="window" lastClr="FFFFFF"/>
            </a:solidFill>
            <a:latin typeface="Calibri"/>
            <a:ea typeface="+mn-ea"/>
            <a:cs typeface="+mn-cs"/>
          </a:endParaRPr>
        </a:p>
      </dsp:txBody>
      <dsp:txXfrm>
        <a:off x="2323588" y="874658"/>
        <a:ext cx="128762" cy="24427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2F3EF8EC1994FB95337B777989CFB" ma:contentTypeVersion="0" ma:contentTypeDescription="Create a new document." ma:contentTypeScope="" ma:versionID="7a1401a21ae1738574f3cb1816ee426a">
  <xsd:schema xmlns:xsd="http://www.w3.org/2001/XMLSchema" xmlns:xs="http://www.w3.org/2001/XMLSchema" xmlns:p="http://schemas.microsoft.com/office/2006/metadata/properties" targetNamespace="http://schemas.microsoft.com/office/2006/metadata/properties" ma:root="true" ma:fieldsID="00f32bbcd90b9d54010fe3f34ab0f52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DC4611-2D84-498E-8A21-6AFB1A6A2A8E}">
  <ds:schemaRefs>
    <ds:schemaRef ds:uri="http://schemas.microsoft.com/sharepoint/v3/contenttype/forms"/>
  </ds:schemaRefs>
</ds:datastoreItem>
</file>

<file path=customXml/itemProps2.xml><?xml version="1.0" encoding="utf-8"?>
<ds:datastoreItem xmlns:ds="http://schemas.openxmlformats.org/officeDocument/2006/customXml" ds:itemID="{CE63FF81-3FFE-4172-9C1E-114C33677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5CF4E5-6DE0-4ACB-8B3F-9DBA7F257C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DF450-D22A-47BA-B188-66F5FF6A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30718</Words>
  <Characters>175099</Characters>
  <Application>Microsoft Office Word</Application>
  <DocSecurity>0</DocSecurity>
  <Lines>1459</Lines>
  <Paragraphs>410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DRAFT - IPA III programming framework</vt:lpstr>
      <vt:lpstr>DRAFT - IPA III programming framework</vt:lpstr>
    </vt:vector>
  </TitlesOfParts>
  <Company>European Commission</Company>
  <LinksUpToDate>false</LinksUpToDate>
  <CharactersWithSpaces>205407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IPA III programming framework</dc:title>
  <dc:creator>HUDSON David (NEAR)</dc:creator>
  <cp:lastModifiedBy>IPA Birimi</cp:lastModifiedBy>
  <cp:revision>2</cp:revision>
  <cp:lastPrinted>2020-02-25T14:44:00Z</cp:lastPrinted>
  <dcterms:created xsi:type="dcterms:W3CDTF">2022-02-07T21:00:00Z</dcterms:created>
  <dcterms:modified xsi:type="dcterms:W3CDTF">2022-02-07T21:00:00Z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0x01010088A2F3EF8EC1994FB95337B777989CFB</vt:lpwstr>
  </property>
  <property fmtid="{D5CDD505-2E9C-101B-9397-08002B2CF9AE}" pid="3" name="IsMyDocuments">
    <vt:bool>true</vt:bool>
  </property>
</Properties>
</file>